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9.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fontTable.xml" ContentType="application/vnd.openxmlformats-officedocument.wordprocessingml.fontTable+xml"/>
  <Override PartName="/word/charts/chart1.xml" ContentType="application/vnd.openxmlformats-officedocument.drawingml.chart+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pBdr>
          <w:top w:val="single" w:sz="4" w:space="1" w:color="244061"/>
          <w:bottom w:val="single" w:sz="4" w:space="1" w:color="244061"/>
        </w:pBdr>
        <w:spacing w:before="240" w:after="0"/>
        <w:jc w:val="center"/>
        <w:rPr>
          <w:b/>
          <w:b/>
          <w:sz w:val="36"/>
          <w:szCs w:val="36"/>
        </w:rPr>
      </w:pPr>
      <w:r>
        <w:rPr>
          <w:b/>
          <w:sz w:val="36"/>
          <w:szCs w:val="36"/>
        </w:rPr>
        <w:t>TraAM 2018-2019</w:t>
      </w:r>
    </w:p>
    <w:p>
      <w:pPr>
        <w:pStyle w:val="Normal"/>
        <w:rPr/>
      </w:pPr>
      <w:r>
        <w:rPr/>
      </w:r>
    </w:p>
    <w:p>
      <w:pPr>
        <w:pStyle w:val="Titre2"/>
        <w:pBdr>
          <w:top w:val="single" w:sz="4" w:space="1" w:color="244061"/>
          <w:bottom w:val="single" w:sz="4" w:space="1" w:color="244061"/>
        </w:pBdr>
        <w:rPr>
          <w:b/>
          <w:b/>
          <w:sz w:val="32"/>
          <w:szCs w:val="32"/>
        </w:rPr>
      </w:pPr>
      <w:r>
        <w:rPr>
          <w:b/>
          <w:sz w:val="32"/>
          <w:szCs w:val="32"/>
        </w:rPr>
        <w:t>Intitulé</w:t>
      </w:r>
    </w:p>
    <w:p>
      <w:pPr>
        <w:pStyle w:val="Normal"/>
        <w:spacing w:before="120" w:after="120"/>
        <w:ind w:left="284" w:hanging="0"/>
        <w:jc w:val="both"/>
        <w:rPr>
          <w:b/>
          <w:b/>
        </w:rPr>
      </w:pPr>
      <w:r>
        <w:rPr>
          <w:b/>
        </w:rPr>
        <w:t>Utilisation du solveur pour modéliser une série de points sous Excel, avec nommage des cellules.</w:t>
      </w:r>
    </w:p>
    <w:p>
      <w:pPr>
        <w:pStyle w:val="Normal"/>
        <w:spacing w:before="120" w:after="120"/>
        <w:ind w:left="284" w:hanging="0"/>
        <w:jc w:val="both"/>
        <w:rPr/>
      </w:pPr>
      <w:r>
        <w:rPr/>
        <w:t>Dans l’industrie, les logiciels utilisés dans l’Éducation Nationale ne sont pas connus. Ainsi, les logiciels Regressi ou Latis Pro permettent sans doute d’enseigner pédagogiquement la modélisation de séries de mesures à partir d’équations complexes, mais l’industrie n’utilisant souvent que des tableurs comme Excel voire LibreOffice Calc, il est bon de connaitre des méthodes simples et rapides sur ces tableurs.</w:t>
      </w:r>
    </w:p>
    <w:p>
      <w:pPr>
        <w:pStyle w:val="Normal"/>
        <w:spacing w:before="120" w:after="120"/>
        <w:ind w:left="284" w:hanging="0"/>
        <w:jc w:val="both"/>
        <w:rPr/>
      </w:pPr>
      <w:r>
        <w:rPr/>
      </w:r>
    </w:p>
    <w:p>
      <w:pPr>
        <w:pStyle w:val="Titre2"/>
        <w:pBdr>
          <w:top w:val="single" w:sz="4" w:space="1" w:color="244061"/>
          <w:bottom w:val="single" w:sz="4" w:space="1" w:color="244061"/>
        </w:pBdr>
        <w:rPr/>
      </w:pPr>
      <w:r>
        <w:rPr>
          <w:b/>
          <w:sz w:val="32"/>
          <w:szCs w:val="32"/>
        </w:rPr>
        <w:t>Niveaux concernés</w:t>
      </w:r>
    </w:p>
    <w:p>
      <w:pPr>
        <w:pStyle w:val="Normal"/>
        <w:spacing w:before="120" w:after="120"/>
        <w:ind w:left="284" w:hanging="0"/>
        <w:jc w:val="both"/>
        <w:rPr/>
      </w:pPr>
      <w:r>
        <w:rPr/>
        <w:t>Ce TD a été testé en BTS TPIL avec succès puis testé en terminale S de façon plus allégé. Il peut être adapté au goût de l’enseignant, mais je vais vous présenter non pas "la" ou "une" méthode, mais simplement celle que j’emploie avec mes élèves en classe.</w:t>
      </w:r>
    </w:p>
    <w:p>
      <w:pPr>
        <w:pStyle w:val="Normal"/>
        <w:spacing w:before="120" w:after="120"/>
        <w:ind w:left="284" w:hanging="0"/>
        <w:jc w:val="both"/>
        <w:rPr/>
      </w:pPr>
      <w:r>
        <w:rPr/>
      </w:r>
    </w:p>
    <w:p>
      <w:pPr>
        <w:pStyle w:val="Titre2"/>
        <w:pBdr>
          <w:top w:val="single" w:sz="4" w:space="1" w:color="244061"/>
          <w:bottom w:val="single" w:sz="4" w:space="1" w:color="244061"/>
        </w:pBdr>
        <w:rPr>
          <w:b/>
          <w:b/>
          <w:sz w:val="32"/>
          <w:szCs w:val="32"/>
        </w:rPr>
      </w:pPr>
      <w:r>
        <w:rPr>
          <w:b/>
          <w:sz w:val="32"/>
          <w:szCs w:val="32"/>
        </w:rPr>
        <w:t>Description rapide</w:t>
      </w:r>
    </w:p>
    <w:p>
      <w:pPr>
        <w:pStyle w:val="Normal"/>
        <w:spacing w:before="120" w:after="120"/>
        <w:ind w:left="284" w:hanging="0"/>
        <w:jc w:val="both"/>
        <w:rPr/>
      </w:pPr>
      <w:r>
        <w:rPr/>
        <w:t xml:space="preserve">L’utilisation d’un </w:t>
      </w:r>
      <w:r>
        <w:rPr>
          <w:b/>
          <w:i/>
        </w:rPr>
        <w:t>tableur</w:t>
      </w:r>
      <w:r>
        <w:rPr/>
        <w:t xml:space="preserve"> comme </w:t>
      </w:r>
      <w:r>
        <w:rPr>
          <w:b/>
          <w:i/>
        </w:rPr>
        <w:t>Excel</w:t>
      </w:r>
      <w:r>
        <w:rPr/>
        <w:t xml:space="preserve"> se fait souvent de façon très primaire, et en négligeant les fonctions intéressantes, ainsi en est-il de la mise en forme ou du nommage des cellules.</w:t>
      </w:r>
    </w:p>
    <w:p>
      <w:pPr>
        <w:pStyle w:val="Normal"/>
        <w:spacing w:before="120" w:after="120"/>
        <w:ind w:left="284" w:hanging="0"/>
        <w:jc w:val="both"/>
        <w:rPr/>
      </w:pPr>
      <w:r>
        <w:drawing>
          <wp:anchor behindDoc="0" distT="36195" distB="41910" distL="252095" distR="0" simplePos="0" locked="0" layoutInCell="1" allowOverlap="1" relativeHeight="2">
            <wp:simplePos x="0" y="0"/>
            <wp:positionH relativeFrom="column">
              <wp:align>right</wp:align>
            </wp:positionH>
            <wp:positionV relativeFrom="paragraph">
              <wp:posOffset>285750</wp:posOffset>
            </wp:positionV>
            <wp:extent cx="2520315" cy="375920"/>
            <wp:effectExtent l="0" t="0" r="0" b="0"/>
            <wp:wrapSquare wrapText="largest"/>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520315" cy="375920"/>
                    </a:xfrm>
                    <a:prstGeom prst="rect">
                      <a:avLst/>
                    </a:prstGeom>
                  </pic:spPr>
                </pic:pic>
              </a:graphicData>
            </a:graphic>
          </wp:anchor>
        </w:drawing>
      </w:r>
      <w:r>
        <w:rPr/>
        <w:t>L</w:t>
      </w:r>
      <w:r>
        <w:rPr/>
        <w:t>’objectif est de modéliser une série de me</w:t>
      </w:r>
      <w:r>
        <w:rPr/>
        <w:t>s</w:t>
      </w:r>
      <w:r>
        <w:rPr/>
        <w:t xml:space="preserve">ures </w:t>
      </w:r>
      <w:r>
        <w:rPr/>
      </w:r>
      <m:oMath xmlns:m="http://schemas.openxmlformats.org/officeDocument/2006/math">
        <m:d>
          <m:dPr>
            <m:begChr m:val="("/>
            <m:endChr m:val=")"/>
          </m:dPr>
          <m:e>
            <m:sSub>
              <m:e>
                <m:r>
                  <w:rPr>
                    <w:rFonts w:ascii="Cambria Math" w:hAnsi="Cambria Math"/>
                  </w:rPr>
                  <m:t xml:space="preserve">x</m:t>
                </m:r>
              </m:e>
              <m:sub>
                <m:r>
                  <w:rPr>
                    <w:rFonts w:ascii="Cambria Math" w:hAnsi="Cambria Math"/>
                  </w:rPr>
                  <m:t xml:space="preserve">ex</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ex</m:t>
                </m:r>
              </m:sub>
            </m:sSub>
          </m:e>
        </m:d>
      </m:oMath>
      <w:r>
        <w:rPr/>
        <w:t xml:space="preserve"> acquises par un capteur et récupérée dans un fichier .txt ou .csv, de rajouter une colonne </w:t>
      </w:r>
      <w:r>
        <w:rPr/>
      </w:r>
      <m:oMath xmlns:m="http://schemas.openxmlformats.org/officeDocument/2006/math">
        <m:sSub>
          <m:e>
            <m:r>
              <w:rPr>
                <w:rFonts w:ascii="Cambria Math" w:hAnsi="Cambria Math"/>
              </w:rPr>
              <m:t xml:space="preserve">y</m:t>
            </m:r>
          </m:e>
          <m:sub>
            <m:r>
              <w:rPr>
                <w:rFonts w:ascii="Cambria Math" w:hAnsi="Cambria Math"/>
              </w:rPr>
              <m:t xml:space="preserve">th</m:t>
            </m:r>
          </m:sub>
        </m:sSub>
      </m:oMath>
      <w:r>
        <w:rPr>
          <w:rFonts w:eastAsia="" w:eastAsiaTheme="minorEastAsia"/>
        </w:rPr>
        <w:t>, puis d’ajuster cette dernière série en fonction de paramètres de modélisation, en utilisant le solveur d’Excel.</w:t>
      </w:r>
    </w:p>
    <w:p>
      <w:pPr>
        <w:pStyle w:val="Normal"/>
        <w:spacing w:before="120" w:after="120"/>
        <w:ind w:left="284" w:hanging="0"/>
        <w:jc w:val="both"/>
        <w:rPr/>
      </w:pPr>
      <w:r>
        <w:drawing>
          <wp:anchor behindDoc="0" distT="36195" distB="38100" distL="252095" distR="259715" simplePos="0" locked="0" layoutInCell="1" allowOverlap="1" relativeHeight="3">
            <wp:simplePos x="0" y="0"/>
            <wp:positionH relativeFrom="column">
              <wp:posOffset>180340</wp:posOffset>
            </wp:positionH>
            <wp:positionV relativeFrom="paragraph">
              <wp:posOffset>112395</wp:posOffset>
            </wp:positionV>
            <wp:extent cx="1535430" cy="855345"/>
            <wp:effectExtent l="0" t="0" r="0" b="0"/>
            <wp:wrapSquare wrapText="largest"/>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3"/>
                    <a:stretch>
                      <a:fillRect/>
                    </a:stretch>
                  </pic:blipFill>
                  <pic:spPr bwMode="auto">
                    <a:xfrm>
                      <a:off x="0" y="0"/>
                      <a:ext cx="1535430" cy="855345"/>
                    </a:xfrm>
                    <a:prstGeom prst="rect">
                      <a:avLst/>
                    </a:prstGeom>
                  </pic:spPr>
                </pic:pic>
              </a:graphicData>
            </a:graphic>
          </wp:anchor>
        </w:drawing>
      </w:r>
      <w:r>
        <w:rPr/>
        <w:t>L</w:t>
      </w:r>
      <w:r>
        <w:rPr/>
        <w:t xml:space="preserve">a méthode utilisée est celle des </w:t>
      </w:r>
      <w:r>
        <w:rPr>
          <w:b/>
          <w:i/>
        </w:rPr>
        <w:t>moindres carrés</w:t>
      </w:r>
      <w:r>
        <w:rPr/>
        <w:t>, car elle est simple est rapide à mettre en place, et permet rarement au solveur d’Excel de diverger (J’ai remarqué que ce n’est pas le cas sous LibreOffice).</w:t>
      </w:r>
    </w:p>
    <w:p>
      <w:pPr>
        <w:pStyle w:val="Normal"/>
        <w:spacing w:before="120" w:after="120"/>
        <w:ind w:left="284" w:hanging="0"/>
        <w:jc w:val="both"/>
        <w:rPr/>
      </w:pPr>
      <w:r>
        <w:rPr/>
        <w:t>Il est nécessaire d’ajouter le module complémentaire « Solveur » dans les options d’Excel (</w:t>
      </w:r>
      <w:r>
        <w:rPr>
          <w:i/>
        </w:rPr>
        <w:t xml:space="preserve">Ficher </w:t>
      </w:r>
      <w:r>
        <w:rPr>
          <w:rFonts w:eastAsia="Wingdings" w:cs="Wingdings" w:ascii="Wingdings" w:hAnsi="Wingdings"/>
          <w:i/>
        </w:rPr>
        <w:t></w:t>
      </w:r>
      <w:r>
        <w:rPr>
          <w:i/>
        </w:rPr>
        <w:t xml:space="preserve"> Options </w:t>
      </w:r>
      <w:r>
        <w:rPr>
          <w:rFonts w:eastAsia="Wingdings" w:cs="Wingdings" w:ascii="Wingdings" w:hAnsi="Wingdings"/>
          <w:i/>
        </w:rPr>
        <w:t></w:t>
      </w:r>
      <w:r>
        <w:rPr>
          <w:i/>
        </w:rPr>
        <w:t xml:space="preserve"> Compléments </w:t>
      </w:r>
      <w:r>
        <w:rPr>
          <w:rFonts w:eastAsia="Wingdings" w:cs="Wingdings" w:ascii="Wingdings" w:hAnsi="Wingdings"/>
          <w:i/>
        </w:rPr>
        <w:t></w:t>
      </w:r>
      <w:r>
        <w:rPr>
          <w:i/>
        </w:rPr>
        <w:t xml:space="preserve"> Gérer …</w:t>
      </w:r>
      <w:r>
        <w:rPr/>
        <w:t>).</w:t>
      </w:r>
    </w:p>
    <w:p>
      <w:pPr>
        <w:pStyle w:val="Normal"/>
        <w:rPr/>
      </w:pPr>
      <w:r>
        <w:rPr/>
      </w:r>
      <w:r>
        <w:br w:type="page"/>
      </w:r>
    </w:p>
    <w:p>
      <w:pPr>
        <w:pStyle w:val="Normal"/>
        <w:spacing w:before="120" w:after="120"/>
        <w:jc w:val="both"/>
        <w:rPr/>
      </w:pPr>
      <w:r>
        <mc:AlternateContent>
          <mc:Choice Requires="wpg">
            <w:drawing>
              <wp:anchor behindDoc="0" distT="36195" distB="36195" distL="114300" distR="114300" simplePos="0" locked="0" layoutInCell="1" allowOverlap="1" relativeHeight="4" wp14:anchorId="09577072">
                <wp:simplePos x="0" y="0"/>
                <wp:positionH relativeFrom="column">
                  <wp:posOffset>0</wp:posOffset>
                </wp:positionH>
                <wp:positionV relativeFrom="paragraph">
                  <wp:posOffset>702310</wp:posOffset>
                </wp:positionV>
                <wp:extent cx="5400675" cy="3423920"/>
                <wp:effectExtent l="0" t="0" r="0" b="5715"/>
                <wp:wrapTopAndBottom/>
                <wp:docPr id="3" name="Groupe 6"/>
                <a:graphic xmlns:a="http://schemas.openxmlformats.org/drawingml/2006/main">
                  <a:graphicData uri="http://schemas.microsoft.com/office/word/2010/wordprocessingGroup">
                    <wpg:wgp>
                      <wpg:cNvGrpSpPr/>
                      <wpg:grpSpPr>
                        <a:xfrm>
                          <a:off x="0" y="0"/>
                          <a:ext cx="5400000" cy="3423240"/>
                        </a:xfrm>
                      </wpg:grpSpPr>
                      <pic:pic xmlns:pic="http://schemas.openxmlformats.org/drawingml/2006/picture">
                        <pic:nvPicPr>
                          <pic:cNvPr id="0" name="Image 4" descr=""/>
                          <pic:cNvPicPr/>
                        </pic:nvPicPr>
                        <pic:blipFill>
                          <a:blip r:embed="rId4"/>
                          <a:stretch/>
                        </pic:blipFill>
                        <pic:spPr>
                          <a:xfrm>
                            <a:off x="0" y="0"/>
                            <a:ext cx="2540160" cy="3423240"/>
                          </a:xfrm>
                          <a:prstGeom prst="rect">
                            <a:avLst/>
                          </a:prstGeom>
                          <a:ln>
                            <a:noFill/>
                          </a:ln>
                        </pic:spPr>
                      </pic:pic>
                      <pic:pic xmlns:pic="http://schemas.openxmlformats.org/drawingml/2006/picture">
                        <pic:nvPicPr>
                          <pic:cNvPr id="1" name="Image 5" descr=""/>
                          <pic:cNvPicPr/>
                        </pic:nvPicPr>
                        <pic:blipFill>
                          <a:blip r:embed="rId5"/>
                          <a:stretch/>
                        </pic:blipFill>
                        <pic:spPr>
                          <a:xfrm>
                            <a:off x="2860200" y="0"/>
                            <a:ext cx="2540160" cy="3395880"/>
                          </a:xfrm>
                          <a:prstGeom prst="rect">
                            <a:avLst/>
                          </a:prstGeom>
                          <a:ln>
                            <a:noFill/>
                          </a:ln>
                        </pic:spPr>
                      </pic:pic>
                    </wpg:wgp>
                  </a:graphicData>
                </a:graphic>
              </wp:anchor>
            </w:drawing>
          </mc:Choice>
          <mc:Fallback>
            <w:pict>
              <v:group id="shape_0" alt="Groupe 6" style="position:absolute;margin-left:0pt;margin-top:55.3pt;width:425.2pt;height:269.55pt" coordorigin="0,1106" coordsize="8504,5391">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4" stroked="f" style="position:absolute;left:0;top:1106;width:3999;height:5390" type="shapetype_75">
                  <v:imagedata r:id="rId4" o:detectmouseclick="t"/>
                  <w10:wrap type="none"/>
                  <v:stroke color="#3465a4" joinstyle="round" endcap="flat"/>
                </v:shape>
                <v:shape id="shape_0" ID="Image 5" stroked="f" style="position:absolute;left:4504;top:1106;width:3999;height:5347" type="shapetype_75">
                  <v:imagedata r:id="rId5" o:detectmouseclick="t"/>
                  <w10:wrap type="none"/>
                  <v:stroke color="#3465a4" joinstyle="round" endcap="flat"/>
                </v:shape>
              </v:group>
            </w:pict>
          </mc:Fallback>
        </mc:AlternateContent>
      </w:r>
      <w:r>
        <w:rPr/>
        <w:t xml:space="preserve">Voici ci-dessous, le résultat d’une modélisation </w:t>
      </w:r>
      <w:r>
        <w:rPr>
          <w:b/>
          <w:i/>
        </w:rPr>
        <w:t>de la décroissance d’une température</w:t>
      </w:r>
      <w:r>
        <w:rPr/>
        <w:t xml:space="preserve"> fournie par un capteur de température (le capteur LM35DZ est un RIT bon marché) : les paramètres variables sont : a, b et λ, on minimise l’écart quadratique.</w:t>
      </w:r>
    </w:p>
    <w:p>
      <w:pPr>
        <w:pStyle w:val="Normal"/>
        <w:tabs>
          <w:tab w:val="center" w:pos="2552" w:leader="none"/>
          <w:tab w:val="center" w:pos="7513" w:leader="none"/>
        </w:tabs>
        <w:spacing w:before="120" w:after="120"/>
        <w:jc w:val="both"/>
        <w:rPr>
          <w:i/>
          <w:i/>
        </w:rPr>
      </w:pPr>
      <w:r>
        <w:rPr/>
        <w:tab/>
      </w:r>
      <w:r>
        <w:rPr>
          <w:i/>
        </w:rPr>
        <w:t>Avant le solveur</w:t>
        <w:tab/>
        <w:t>Après le solveur</w:t>
      </w:r>
    </w:p>
    <w:p>
      <w:pPr>
        <w:pStyle w:val="Normal"/>
        <w:jc w:val="both"/>
        <w:rPr/>
      </w:pPr>
      <w:r>
        <w:rPr/>
      </w:r>
    </w:p>
    <w:p>
      <w:pPr>
        <w:pStyle w:val="Titre2"/>
        <w:pBdr>
          <w:top w:val="single" w:sz="4" w:space="1" w:color="244061"/>
          <w:bottom w:val="single" w:sz="4" w:space="1" w:color="244061"/>
        </w:pBdr>
        <w:rPr>
          <w:b/>
          <w:b/>
          <w:sz w:val="32"/>
          <w:szCs w:val="32"/>
        </w:rPr>
      </w:pPr>
      <w:r>
        <w:rPr>
          <w:b/>
          <w:sz w:val="32"/>
          <w:szCs w:val="32"/>
        </w:rPr>
        <w:t>Méthode</w:t>
      </w:r>
    </w:p>
    <w:p>
      <w:pPr>
        <w:pStyle w:val="Titre3"/>
        <w:spacing w:before="120" w:after="120"/>
        <w:rPr>
          <w:b/>
          <w:b/>
          <w:i/>
          <w:i/>
          <w:sz w:val="28"/>
          <w:szCs w:val="28"/>
        </w:rPr>
      </w:pPr>
      <w:r>
        <w:rPr>
          <w:b/>
          <w:i/>
          <w:sz w:val="28"/>
          <w:szCs w:val="28"/>
        </w:rPr>
        <w:t>Préparation des tableaux</w:t>
      </w:r>
    </w:p>
    <w:p>
      <w:pPr>
        <w:pStyle w:val="Normal"/>
        <w:rPr/>
      </w:pPr>
      <w:r>
        <mc:AlternateContent>
          <mc:Choice Requires="wps">
            <w:drawing>
              <wp:anchor behindDoc="0" distT="0" distB="0" distL="114300" distR="114300" simplePos="0" locked="0" layoutInCell="1" allowOverlap="1" relativeHeight="6" wp14:anchorId="4DBEA2D5">
                <wp:simplePos x="0" y="0"/>
                <wp:positionH relativeFrom="column">
                  <wp:posOffset>74930</wp:posOffset>
                </wp:positionH>
                <wp:positionV relativeFrom="paragraph">
                  <wp:posOffset>393700</wp:posOffset>
                </wp:positionV>
                <wp:extent cx="2584450" cy="394335"/>
                <wp:effectExtent l="57150" t="38100" r="83820" b="102235"/>
                <wp:wrapNone/>
                <wp:docPr id="4" name="Organigramme : Alternative 9"/>
                <a:graphic xmlns:a="http://schemas.openxmlformats.org/drawingml/2006/main">
                  <a:graphicData uri="http://schemas.microsoft.com/office/word/2010/wordprocessingShape">
                    <wps:wsp>
                      <wps:cNvSpPr/>
                      <wps:spPr>
                        <a:xfrm>
                          <a:off x="0" y="0"/>
                          <a:ext cx="2583720" cy="393840"/>
                        </a:xfrm>
                        <a:prstGeom prst="flowChartAlternateProcess">
                          <a:avLst/>
                        </a:prstGeom>
                        <a:ln>
                          <a:solidFill>
                            <a:srgbClr val="46aac4"/>
                          </a:solidFill>
                          <a:round/>
                        </a:ln>
                        <a:effectLst>
                          <a:outerShdw blurRad="40000" dir="5400000" dist="2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pPr>
                              <w:pStyle w:val="Contenudecadre"/>
                              <w:spacing w:before="0" w:after="120"/>
                              <w:jc w:val="center"/>
                              <w:rPr>
                                <w:color w:val="000000"/>
                              </w:rPr>
                            </w:pPr>
                            <w:r>
                              <w:rPr>
                                <w:color w:val="000000"/>
                              </w:rPr>
                              <w:t xml:space="preserve">4 colonnes : </w:t>
                            </w:r>
                            <w:r>
                              <w:rPr>
                                <w:color w:val="000000"/>
                              </w:rPr>
                            </w:r>
                            <m:oMath xmlns:m="http://schemas.openxmlformats.org/officeDocument/2006/math">
                              <m:d>
                                <m:dPr>
                                  <m:begChr m:val="("/>
                                  <m:endChr m:val=")"/>
                                </m:dPr>
                                <m:e>
                                  <m:sSub>
                                    <m:e>
                                      <m:r>
                                        <w:rPr>
                                          <w:rFonts w:ascii="Cambria Math" w:hAnsi="Cambria Math"/>
                                        </w:rPr>
                                        <m:t xml:space="preserve">x</m:t>
                                      </m:r>
                                    </m:e>
                                    <m:sub>
                                      <m:r>
                                        <w:rPr>
                                          <w:rFonts w:ascii="Cambria Math" w:hAnsi="Cambria Math"/>
                                        </w:rPr>
                                        <m:t xml:space="preserve">ex</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ex</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th</m:t>
                                      </m:r>
                                    </m:sub>
                                  </m:sSub>
                                  <m:r>
                                    <w:rPr>
                                      <w:rFonts w:ascii="Cambria Math" w:hAnsi="Cambria Math"/>
                                    </w:rPr>
                                    <m:t xml:space="preserve">,</m:t>
                                  </m:r>
                                  <m:sSup>
                                    <m:e>
                                      <m:d>
                                        <m:dPr>
                                          <m:begChr m:val="("/>
                                          <m:endChr m:val=")"/>
                                        </m:dPr>
                                        <m:e>
                                          <m:sSub>
                                            <m:e>
                                              <m:r>
                                                <w:rPr>
                                                  <w:rFonts w:ascii="Cambria Math" w:hAnsi="Cambria Math"/>
                                                </w:rPr>
                                                <m:t xml:space="preserve">y</m:t>
                                              </m:r>
                                            </m:e>
                                            <m:sub>
                                              <m:r>
                                                <w:rPr>
                                                  <w:rFonts w:ascii="Cambria Math" w:hAnsi="Cambria Math"/>
                                                </w:rPr>
                                                <m:t xml:space="preserve">ex</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th</m:t>
                                              </m:r>
                                            </m:sub>
                                          </m:sSub>
                                        </m:e>
                                      </m:d>
                                    </m:e>
                                    <m:sup>
                                      <m:r>
                                        <w:rPr>
                                          <w:rFonts w:ascii="Cambria Math" w:hAnsi="Cambria Math"/>
                                        </w:rPr>
                                        <m:t xml:space="preserve">2</m:t>
                                      </m:r>
                                    </m:sup>
                                  </m:sSup>
                                </m:e>
                              </m:d>
                            </m:oMath>
                          </w:p>
                        </w:txbxContent>
                      </wps:txbx>
                      <wps:bodyPr anchor="ctr">
                        <a:prstTxWarp prst="textNoShape"/>
                        <a:noAutofit/>
                      </wps:bodyPr>
                    </wps:wsp>
                  </a:graphicData>
                </a:graphic>
              </wp:anchor>
            </w:drawing>
          </mc:Choice>
          <mc:Fallback>
            <w:pict>
              <v:shapetype id="shapetype_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Organigramme : Alternative 9" fillcolor="#bfecff" stroked="t" style="position:absolute;margin-left:5.9pt;margin-top:31pt;width:203.4pt;height:30.95pt" wp14:anchorId="4DBEA2D5" type="shapetype_176">
                <w10:wrap type="square"/>
                <v:fill o:detectmouseclick="t" color2="#e6f7ff"/>
                <v:stroke color="#46aac4" weight="9360" joinstyle="round" endcap="flat"/>
                <v:shadow on="t" obscured="f" color="black"/>
                <v:textbox>
                  <w:txbxContent>
                    <w:p>
                      <w:pPr>
                        <w:pStyle w:val="Contenudecadre"/>
                        <w:spacing w:before="0" w:after="120"/>
                        <w:jc w:val="center"/>
                        <w:rPr>
                          <w:color w:val="000000"/>
                        </w:rPr>
                      </w:pPr>
                      <w:r>
                        <w:rPr>
                          <w:color w:val="000000"/>
                        </w:rPr>
                        <w:t xml:space="preserve">4 colonnes : </w:t>
                      </w:r>
                      <w:r>
                        <w:rPr>
                          <w:color w:val="000000"/>
                        </w:rPr>
                      </w:r>
                      <m:oMath xmlns:m="http://schemas.openxmlformats.org/officeDocument/2006/math">
                        <m:d>
                          <m:dPr>
                            <m:begChr m:val="("/>
                            <m:endChr m:val=")"/>
                          </m:dPr>
                          <m:e>
                            <m:sSub>
                              <m:e>
                                <m:r>
                                  <w:rPr>
                                    <w:rFonts w:ascii="Cambria Math" w:hAnsi="Cambria Math"/>
                                  </w:rPr>
                                  <m:t xml:space="preserve">x</m:t>
                                </m:r>
                              </m:e>
                              <m:sub>
                                <m:r>
                                  <w:rPr>
                                    <w:rFonts w:ascii="Cambria Math" w:hAnsi="Cambria Math"/>
                                  </w:rPr>
                                  <m:t xml:space="preserve">ex</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ex</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th</m:t>
                                </m:r>
                              </m:sub>
                            </m:sSub>
                            <m:r>
                              <w:rPr>
                                <w:rFonts w:ascii="Cambria Math" w:hAnsi="Cambria Math"/>
                              </w:rPr>
                              <m:t xml:space="preserve">,</m:t>
                            </m:r>
                            <m:sSup>
                              <m:e>
                                <m:d>
                                  <m:dPr>
                                    <m:begChr m:val="("/>
                                    <m:endChr m:val=")"/>
                                  </m:dPr>
                                  <m:e>
                                    <m:sSub>
                                      <m:e>
                                        <m:r>
                                          <w:rPr>
                                            <w:rFonts w:ascii="Cambria Math" w:hAnsi="Cambria Math"/>
                                          </w:rPr>
                                          <m:t xml:space="preserve">y</m:t>
                                        </m:r>
                                      </m:e>
                                      <m:sub>
                                        <m:r>
                                          <w:rPr>
                                            <w:rFonts w:ascii="Cambria Math" w:hAnsi="Cambria Math"/>
                                          </w:rPr>
                                          <m:t xml:space="preserve">ex</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th</m:t>
                                        </m:r>
                                      </m:sub>
                                    </m:sSub>
                                  </m:e>
                                </m:d>
                              </m:e>
                              <m:sup>
                                <m:r>
                                  <w:rPr>
                                    <w:rFonts w:ascii="Cambria Math" w:hAnsi="Cambria Math"/>
                                  </w:rPr>
                                  <m:t xml:space="preserve">2</m:t>
                                </m:r>
                              </m:sup>
                            </m:sSup>
                          </m:e>
                        </m:d>
                      </m:oMath>
                    </w:p>
                  </w:txbxContent>
                </v:textbox>
              </v:shape>
            </w:pict>
          </mc:Fallback>
        </mc:AlternateContent>
        <mc:AlternateContent>
          <mc:Choice Requires="wps">
            <w:drawing>
              <wp:anchor behindDoc="0" distT="0" distB="0" distL="113665" distR="114300" simplePos="0" locked="0" layoutInCell="1" allowOverlap="1" relativeHeight="7" wp14:anchorId="55FBCBB6">
                <wp:simplePos x="0" y="0"/>
                <wp:positionH relativeFrom="column">
                  <wp:posOffset>1365250</wp:posOffset>
                </wp:positionH>
                <wp:positionV relativeFrom="paragraph">
                  <wp:posOffset>787400</wp:posOffset>
                </wp:positionV>
                <wp:extent cx="1270" cy="425450"/>
                <wp:effectExtent l="133350" t="0" r="114300" b="52070"/>
                <wp:wrapNone/>
                <wp:docPr id="6" name="Connecteur droit avec flèche 10"/>
                <a:graphic xmlns:a="http://schemas.openxmlformats.org/drawingml/2006/main">
                  <a:graphicData uri="http://schemas.microsoft.com/office/word/2010/wordprocessingShape">
                    <wps:wsp>
                      <wps:cNvSpPr/>
                      <wps:spPr>
                        <a:xfrm>
                          <a:off x="0" y="0"/>
                          <a:ext cx="720" cy="424800"/>
                        </a:xfrm>
                        <a:custGeom>
                          <a:avLst/>
                          <a:gdLst/>
                          <a:ahLst/>
                          <a:rect l="l" t="t" r="r" b="b"/>
                          <a:pathLst>
                            <a:path w="21600" h="21600">
                              <a:moveTo>
                                <a:pt x="0" y="0"/>
                              </a:moveTo>
                              <a:lnTo>
                                <a:pt x="21600" y="21600"/>
                              </a:lnTo>
                            </a:path>
                          </a:pathLst>
                        </a:custGeom>
                        <a:noFill/>
                        <a:ln w="38160">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10" stroked="t" style="position:absolute;margin-left:107.5pt;margin-top:62pt;width:0pt;height:33.4pt" wp14:anchorId="55FBCBB6" type="shapetype_32">
                <w10:wrap type="none"/>
                <v:fill o:detectmouseclick="t" on="false"/>
                <v:stroke color="#4a7ebb" weight="381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8" wp14:anchorId="0C50F54F">
                <wp:simplePos x="0" y="0"/>
                <wp:positionH relativeFrom="column">
                  <wp:posOffset>3386455</wp:posOffset>
                </wp:positionH>
                <wp:positionV relativeFrom="paragraph">
                  <wp:posOffset>394335</wp:posOffset>
                </wp:positionV>
                <wp:extent cx="2584450" cy="394335"/>
                <wp:effectExtent l="57150" t="38100" r="83820" b="102235"/>
                <wp:wrapNone/>
                <wp:docPr id="7" name="Organigramme : Alternative 11"/>
                <a:graphic xmlns:a="http://schemas.openxmlformats.org/drawingml/2006/main">
                  <a:graphicData uri="http://schemas.microsoft.com/office/word/2010/wordprocessingShape">
                    <wps:wsp>
                      <wps:cNvSpPr/>
                      <wps:spPr>
                        <a:xfrm>
                          <a:off x="0" y="0"/>
                          <a:ext cx="2583720" cy="393840"/>
                        </a:xfrm>
                        <a:prstGeom prst="flowChartAlternateProcess">
                          <a:avLst/>
                        </a:prstGeom>
                        <a:ln>
                          <a:solidFill>
                            <a:srgbClr val="46aac4"/>
                          </a:solidFill>
                          <a:round/>
                        </a:ln>
                        <a:effectLst>
                          <a:outerShdw blurRad="40000" dir="5400000" dist="20000" rotWithShape="0">
                            <a:srgbClr val="000000">
                              <a:alpha val="38000"/>
                            </a:srgbClr>
                          </a:outerShdw>
                        </a:effectLst>
                      </wps:spPr>
                      <wps:style>
                        <a:lnRef idx="1">
                          <a:schemeClr val="accent5"/>
                        </a:lnRef>
                        <a:fillRef idx="2">
                          <a:schemeClr val="accent5"/>
                        </a:fillRef>
                        <a:effectRef idx="1">
                          <a:schemeClr val="accent5"/>
                        </a:effectRef>
                        <a:fontRef idx="minor"/>
                      </wps:style>
                      <wps:txbx>
                        <w:txbxContent>
                          <w:p>
                            <w:pPr>
                              <w:pStyle w:val="Contenudecadre"/>
                              <w:spacing w:before="0" w:after="120"/>
                              <w:jc w:val="center"/>
                              <w:rPr>
                                <w:color w:val="000000"/>
                              </w:rPr>
                            </w:pPr>
                            <w:r>
                              <w:rPr>
                                <w:color w:val="000000"/>
                              </w:rPr>
                              <w:t xml:space="preserve">paramètres : </w:t>
                            </w:r>
                            <w:r>
                              <w:rPr>
                                <w:color w:val="000000"/>
                              </w:rPr>
                            </w:r>
                            <m:oMath xmlns:m="http://schemas.openxmlformats.org/officeDocument/2006/math">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ω</m:t>
                                  </m:r>
                                  <m:r>
                                    <w:rPr>
                                      <w:rFonts w:ascii="Cambria Math" w:hAnsi="Cambria Math"/>
                                    </w:rPr>
                                    <m:t xml:space="preserve">,</m:t>
                                  </m:r>
                                  <m:r>
                                    <w:rPr>
                                      <w:rFonts w:ascii="Cambria Math" w:hAnsi="Cambria Math"/>
                                    </w:rPr>
                                    <m:t xml:space="preserve">φ</m:t>
                                  </m:r>
                                  <m:r>
                                    <w:rPr>
                                      <w:rFonts w:ascii="Cambria Math" w:hAnsi="Cambria Math"/>
                                    </w:rPr>
                                    <m:t xml:space="preserve">,</m:t>
                                  </m:r>
                                  <m:r>
                                    <w:rPr>
                                      <w:rFonts w:ascii="Cambria Math" w:hAnsi="Cambria Math"/>
                                    </w:rPr>
                                    <m:t xml:space="preserve">solveur</m:t>
                                  </m:r>
                                </m:e>
                              </m:d>
                            </m:oMath>
                          </w:p>
                        </w:txbxContent>
                      </wps:txbx>
                      <wps:bodyPr anchor="ctr">
                        <a:prstTxWarp prst="textNoShape"/>
                        <a:noAutofit/>
                      </wps:bodyPr>
                    </wps:wsp>
                  </a:graphicData>
                </a:graphic>
              </wp:anchor>
            </w:drawing>
          </mc:Choice>
          <mc:Fallback>
            <w:pict>
              <v:shape id="shape_0" ID="Organigramme : Alternative 11" fillcolor="#bfecff" stroked="t" style="position:absolute;margin-left:266.65pt;margin-top:31.05pt;width:203.4pt;height:30.95pt" wp14:anchorId="0C50F54F" type="shapetype_176">
                <w10:wrap type="square"/>
                <v:fill o:detectmouseclick="t" color2="#e6f7ff"/>
                <v:stroke color="#46aac4" weight="9360" joinstyle="round" endcap="flat"/>
                <v:shadow on="t" obscured="f" color="black"/>
                <v:textbox>
                  <w:txbxContent>
                    <w:p>
                      <w:pPr>
                        <w:pStyle w:val="Contenudecadre"/>
                        <w:spacing w:before="0" w:after="120"/>
                        <w:jc w:val="center"/>
                        <w:rPr>
                          <w:color w:val="000000"/>
                        </w:rPr>
                      </w:pPr>
                      <w:r>
                        <w:rPr>
                          <w:color w:val="000000"/>
                        </w:rPr>
                        <w:t xml:space="preserve">paramètres : </w:t>
                      </w:r>
                      <w:r>
                        <w:rPr>
                          <w:color w:val="000000"/>
                        </w:rPr>
                      </w:r>
                      <m:oMath xmlns:m="http://schemas.openxmlformats.org/officeDocument/2006/math">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T</m:t>
                            </m:r>
                            <m:r>
                              <w:rPr>
                                <w:rFonts w:ascii="Cambria Math" w:hAnsi="Cambria Math"/>
                              </w:rPr>
                              <m:t xml:space="preserve">,</m:t>
                            </m:r>
                            <m:r>
                              <w:rPr>
                                <w:rFonts w:ascii="Cambria Math" w:hAnsi="Cambria Math"/>
                              </w:rPr>
                              <m:t xml:space="preserve">ω</m:t>
                            </m:r>
                            <m:r>
                              <w:rPr>
                                <w:rFonts w:ascii="Cambria Math" w:hAnsi="Cambria Math"/>
                              </w:rPr>
                              <m:t xml:space="preserve">,</m:t>
                            </m:r>
                            <m:r>
                              <w:rPr>
                                <w:rFonts w:ascii="Cambria Math" w:hAnsi="Cambria Math"/>
                              </w:rPr>
                              <m:t xml:space="preserve">φ</m:t>
                            </m:r>
                            <m:r>
                              <w:rPr>
                                <w:rFonts w:ascii="Cambria Math" w:hAnsi="Cambria Math"/>
                              </w:rPr>
                              <m:t xml:space="preserve">,</m:t>
                            </m:r>
                            <m:r>
                              <w:rPr>
                                <w:rFonts w:ascii="Cambria Math" w:hAnsi="Cambria Math"/>
                              </w:rPr>
                              <m:t xml:space="preserve">solveur</m:t>
                            </m:r>
                          </m:e>
                        </m:d>
                      </m:oMath>
                    </w:p>
                  </w:txbxContent>
                </v:textbox>
              </v:shape>
            </w:pict>
          </mc:Fallback>
        </mc:AlternateContent>
        <mc:AlternateContent>
          <mc:Choice Requires="wps">
            <w:drawing>
              <wp:anchor behindDoc="0" distT="0" distB="0" distL="113665" distR="114300" simplePos="0" locked="0" layoutInCell="1" allowOverlap="1" relativeHeight="9" wp14:anchorId="54AF45AB">
                <wp:simplePos x="0" y="0"/>
                <wp:positionH relativeFrom="column">
                  <wp:posOffset>4684395</wp:posOffset>
                </wp:positionH>
                <wp:positionV relativeFrom="paragraph">
                  <wp:posOffset>786765</wp:posOffset>
                </wp:positionV>
                <wp:extent cx="1270" cy="424815"/>
                <wp:effectExtent l="133350" t="0" r="114300" b="52070"/>
                <wp:wrapNone/>
                <wp:docPr id="9" name="Connecteur droit avec flèche 12"/>
                <a:graphic xmlns:a="http://schemas.openxmlformats.org/drawingml/2006/main">
                  <a:graphicData uri="http://schemas.microsoft.com/office/word/2010/wordprocessingShape">
                    <wps:wsp>
                      <wps:cNvSpPr/>
                      <wps:spPr>
                        <a:xfrm>
                          <a:off x="0" y="0"/>
                          <a:ext cx="720" cy="424080"/>
                        </a:xfrm>
                        <a:custGeom>
                          <a:avLst/>
                          <a:gdLst/>
                          <a:ahLst/>
                          <a:rect l="l" t="t" r="r" b="b"/>
                          <a:pathLst>
                            <a:path w="21600" h="21600">
                              <a:moveTo>
                                <a:pt x="0" y="0"/>
                              </a:moveTo>
                              <a:lnTo>
                                <a:pt x="21600" y="21600"/>
                              </a:lnTo>
                            </a:path>
                          </a:pathLst>
                        </a:custGeom>
                        <a:noFill/>
                        <a:ln w="38160">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2" stroked="t" style="position:absolute;margin-left:368.85pt;margin-top:61.95pt;width:0pt;height:33.35pt" wp14:anchorId="54AF45AB" type="shapetype_32">
                <w10:wrap type="none"/>
                <v:fill o:detectmouseclick="t" on="false"/>
                <v:stroke color="#4a7ebb" weight="38160" endarrow="block" endarrowwidth="medium" endarrowlength="medium" joinstyle="round" endcap="flat"/>
              </v:shape>
            </w:pict>
          </mc:Fallback>
        </mc:AlternateContent>
        <w:drawing>
          <wp:anchor behindDoc="0" distT="36195" distB="45085" distL="114300" distR="114300" simplePos="0" locked="0" layoutInCell="1" allowOverlap="1" relativeHeight="5">
            <wp:simplePos x="0" y="0"/>
            <wp:positionH relativeFrom="column">
              <wp:posOffset>0</wp:posOffset>
            </wp:positionH>
            <wp:positionV relativeFrom="paragraph">
              <wp:posOffset>1014095</wp:posOffset>
            </wp:positionV>
            <wp:extent cx="6120130" cy="2829560"/>
            <wp:effectExtent l="0" t="0" r="0" b="0"/>
            <wp:wrapTopAndBottom/>
            <wp:docPr id="10"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8" descr=""/>
                    <pic:cNvPicPr>
                      <a:picLocks noChangeAspect="1" noChangeArrowheads="1"/>
                    </pic:cNvPicPr>
                  </pic:nvPicPr>
                  <pic:blipFill>
                    <a:blip r:embed="rId6"/>
                    <a:stretch>
                      <a:fillRect/>
                    </a:stretch>
                  </pic:blipFill>
                  <pic:spPr bwMode="auto">
                    <a:xfrm>
                      <a:off x="0" y="0"/>
                      <a:ext cx="6120130" cy="2829560"/>
                    </a:xfrm>
                    <a:prstGeom prst="rect">
                      <a:avLst/>
                    </a:prstGeom>
                  </pic:spPr>
                </pic:pic>
              </a:graphicData>
            </a:graphic>
          </wp:anchor>
        </w:drawing>
      </w:r>
      <w:r>
        <w:rPr/>
        <w:t xml:space="preserve">Toute explication serait moins efficace qu’une capture d’écran : il s’agit de préparer vos données comme dans l’exemple </w:t>
      </w:r>
      <w:r>
        <w:rPr>
          <w:b/>
          <w:i/>
        </w:rPr>
        <w:t>du mouvement sinusoïdal d’un ensemble ressort-masse</w:t>
      </w:r>
      <w:r>
        <w:rPr/>
        <w:t xml:space="preserve"> que je vais traiter ci-dessous :</w:t>
      </w:r>
    </w:p>
    <w:p>
      <w:pPr>
        <w:pStyle w:val="Normal"/>
        <w:rPr/>
      </w:pPr>
      <w:r>
        <w:rPr/>
        <mc:AlternateContent>
          <mc:Choice Requires="wps">
            <w:drawing>
              <wp:anchor behindDoc="0" distT="0" distB="0" distL="114300" distR="114300" simplePos="0" locked="0" layoutInCell="1" allowOverlap="1" relativeHeight="10" wp14:anchorId="48CBE64C">
                <wp:simplePos x="0" y="0"/>
                <wp:positionH relativeFrom="column">
                  <wp:posOffset>3119755</wp:posOffset>
                </wp:positionH>
                <wp:positionV relativeFrom="paragraph">
                  <wp:posOffset>1682115</wp:posOffset>
                </wp:positionV>
                <wp:extent cx="2933065" cy="1405255"/>
                <wp:effectExtent l="0" t="0" r="0" b="5715"/>
                <wp:wrapNone/>
                <wp:docPr id="11" name="Zone de texte 3777"/>
                <a:graphic xmlns:a="http://schemas.openxmlformats.org/drawingml/2006/main">
                  <a:graphicData uri="http://schemas.microsoft.com/office/word/2010/wordprocessingShape">
                    <wps:wsp>
                      <wps:cNvSpPr/>
                      <wps:spPr>
                        <a:xfrm>
                          <a:off x="0" y="0"/>
                          <a:ext cx="2932560" cy="1404720"/>
                        </a:xfrm>
                        <a:prstGeom prst="rect">
                          <a:avLst/>
                        </a:prstGeom>
                        <a:noFill/>
                        <a:ln w="6480">
                          <a:noFill/>
                        </a:ln>
                      </wps:spPr>
                      <wps:style>
                        <a:lnRef idx="0"/>
                        <a:fillRef idx="0"/>
                        <a:effectRef idx="0"/>
                        <a:fontRef idx="minor"/>
                      </wps:style>
                      <wps:txbx>
                        <w:txbxContent>
                          <w:p>
                            <w:pPr>
                              <w:pStyle w:val="Contenudecadre"/>
                              <w:rPr>
                                <w:i/>
                                <w:i/>
                                <w:color w:val="FF0000"/>
                              </w:rPr>
                            </w:pPr>
                            <w:r>
                              <w:rPr>
                                <w:i/>
                                <w:color w:val="FF0000"/>
                              </w:rPr>
                              <w:t>Il est important de bien préparer son tableau !</w:t>
                            </w:r>
                          </w:p>
                          <w:p>
                            <w:pPr>
                              <w:pStyle w:val="Contenudecadre"/>
                              <w:rPr>
                                <w:i/>
                                <w:i/>
                                <w:color w:val="FF0000"/>
                              </w:rPr>
                            </w:pPr>
                            <w:r>
                              <w:rPr>
                                <w:i/>
                                <w:color w:val="FF0000"/>
                              </w:rPr>
                              <w:t>Formatez les cellules pour avoir un nombre de décimales fixé à 3 : cela uniformisera les valeurs visuellement ;</w:t>
                            </w:r>
                          </w:p>
                          <w:p>
                            <w:pPr>
                              <w:pStyle w:val="Contenudecadre"/>
                              <w:spacing w:before="0" w:after="120"/>
                              <w:rPr/>
                            </w:pPr>
                            <w:r>
                              <w:rPr>
                                <w:i/>
                                <w:color w:val="FF0000"/>
                              </w:rPr>
                              <w:t>On peut ajouter les unités dans le formatage des cellules</w:t>
                            </w:r>
                          </w:p>
                        </w:txbxContent>
                      </wps:txbx>
                      <wps:bodyPr>
                        <a:prstTxWarp prst="textNoShape"/>
                        <a:noAutofit/>
                      </wps:bodyPr>
                    </wps:wsp>
                  </a:graphicData>
                </a:graphic>
              </wp:anchor>
            </w:drawing>
          </mc:Choice>
          <mc:Fallback>
            <w:pict>
              <v:rect id="shape_0" ID="Zone de texte 3777" stroked="f" style="position:absolute;margin-left:245.65pt;margin-top:132.45pt;width:230.85pt;height:110.55pt" wp14:anchorId="48CBE64C">
                <w10:wrap type="square"/>
                <v:fill o:detectmouseclick="t" on="false"/>
                <v:stroke color="#3465a4" weight="6480" joinstyle="round" endcap="flat"/>
                <v:textbox>
                  <w:txbxContent>
                    <w:p>
                      <w:pPr>
                        <w:pStyle w:val="Contenudecadre"/>
                        <w:rPr>
                          <w:i/>
                          <w:i/>
                          <w:color w:val="FF0000"/>
                        </w:rPr>
                      </w:pPr>
                      <w:r>
                        <w:rPr>
                          <w:i/>
                          <w:color w:val="FF0000"/>
                        </w:rPr>
                        <w:t>Il est important de bien préparer son tableau !</w:t>
                      </w:r>
                    </w:p>
                    <w:p>
                      <w:pPr>
                        <w:pStyle w:val="Contenudecadre"/>
                        <w:rPr>
                          <w:i/>
                          <w:i/>
                          <w:color w:val="FF0000"/>
                        </w:rPr>
                      </w:pPr>
                      <w:r>
                        <w:rPr>
                          <w:i/>
                          <w:color w:val="FF0000"/>
                        </w:rPr>
                        <w:t>Formatez les cellules pour avoir un nombre de décimales fixé à 3 : cela uniformisera les valeurs visuellement ;</w:t>
                      </w:r>
                    </w:p>
                    <w:p>
                      <w:pPr>
                        <w:pStyle w:val="Contenudecadre"/>
                        <w:spacing w:before="0" w:after="120"/>
                        <w:rPr/>
                      </w:pPr>
                      <w:r>
                        <w:rPr>
                          <w:i/>
                          <w:color w:val="FF0000"/>
                        </w:rPr>
                        <w:t>On peut ajouter les unités dans le formatage des cellules</w:t>
                      </w:r>
                    </w:p>
                  </w:txbxContent>
                </v:textbox>
              </v:rect>
            </w:pict>
          </mc:Fallback>
        </mc:AlternateContent>
      </w:r>
      <w:r>
        <w:br w:type="page"/>
      </w:r>
    </w:p>
    <w:p>
      <w:pPr>
        <w:pStyle w:val="Titre3"/>
        <w:spacing w:before="120" w:after="120"/>
        <w:rPr>
          <w:b/>
          <w:b/>
          <w:i/>
          <w:i/>
          <w:sz w:val="28"/>
          <w:szCs w:val="28"/>
        </w:rPr>
      </w:pPr>
      <w:r>
        <w:rPr>
          <w:b/>
          <w:i/>
          <w:sz w:val="28"/>
          <w:szCs w:val="28"/>
        </w:rPr>
        <w:t>Nommage des cellules</w:t>
      </w:r>
    </w:p>
    <w:p>
      <w:pPr>
        <w:pStyle w:val="Normal"/>
        <w:rPr>
          <w:vertAlign w:val="superscript"/>
        </w:rPr>
      </w:pPr>
      <w:r>
        <mc:AlternateContent>
          <mc:Choice Requires="wps">
            <w:drawing>
              <wp:anchor behindDoc="0" distT="0" distB="0" distL="114300" distR="113665" simplePos="0" locked="0" layoutInCell="1" allowOverlap="1" relativeHeight="12" wp14:anchorId="597CF421">
                <wp:simplePos x="0" y="0"/>
                <wp:positionH relativeFrom="column">
                  <wp:posOffset>2444750</wp:posOffset>
                </wp:positionH>
                <wp:positionV relativeFrom="paragraph">
                  <wp:posOffset>368300</wp:posOffset>
                </wp:positionV>
                <wp:extent cx="108585" cy="252730"/>
                <wp:effectExtent l="76200" t="19050" r="44450" b="53340"/>
                <wp:wrapNone/>
                <wp:docPr id="13" name="Connecteur droit avec flèche 14"/>
                <a:graphic xmlns:a="http://schemas.openxmlformats.org/drawingml/2006/main">
                  <a:graphicData uri="http://schemas.microsoft.com/office/word/2010/wordprocessingShape">
                    <wps:wsp>
                      <wps:cNvSpPr/>
                      <wps:spPr>
                        <a:xfrm>
                          <a:off x="0" y="0"/>
                          <a:ext cx="108000" cy="252000"/>
                        </a:xfrm>
                        <a:custGeom>
                          <a:avLst/>
                          <a:gdLst/>
                          <a:ahLst/>
                          <a:rect l="l" t="t" r="r" b="b"/>
                          <a:pathLst>
                            <a:path w="21600" h="21600">
                              <a:moveTo>
                                <a:pt x="0" y="0"/>
                              </a:moveTo>
                              <a:lnTo>
                                <a:pt x="21600" y="21600"/>
                              </a:lnTo>
                            </a:path>
                          </a:pathLst>
                        </a:custGeom>
                        <a:noFill/>
                        <a:ln w="38160">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4" stroked="t" style="position:absolute;margin-left:192.5pt;margin-top:29pt;width:8.45pt;height:19.8pt" wp14:anchorId="597CF421" type="shapetype_32">
                <w10:wrap type="none"/>
                <v:fill o:detectmouseclick="t" on="false"/>
                <v:stroke color="#4a7ebb" weight="381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3" wp14:anchorId="0DA84E95">
                <wp:simplePos x="0" y="0"/>
                <wp:positionH relativeFrom="column">
                  <wp:posOffset>4881880</wp:posOffset>
                </wp:positionH>
                <wp:positionV relativeFrom="paragraph">
                  <wp:posOffset>368935</wp:posOffset>
                </wp:positionV>
                <wp:extent cx="360680" cy="1080770"/>
                <wp:effectExtent l="76200" t="19050" r="21590" b="44450"/>
                <wp:wrapNone/>
                <wp:docPr id="14" name="Connecteur droit avec flèche 15"/>
                <a:graphic xmlns:a="http://schemas.openxmlformats.org/drawingml/2006/main">
                  <a:graphicData uri="http://schemas.microsoft.com/office/word/2010/wordprocessingShape">
                    <wps:wsp>
                      <wps:cNvSpPr/>
                      <wps:spPr>
                        <a:xfrm flipH="1">
                          <a:off x="0" y="0"/>
                          <a:ext cx="360000" cy="1080000"/>
                        </a:xfrm>
                        <a:custGeom>
                          <a:avLst/>
                          <a:gdLst/>
                          <a:ahLst/>
                          <a:rect l="l" t="t" r="r" b="b"/>
                          <a:pathLst>
                            <a:path w="21600" h="21600">
                              <a:moveTo>
                                <a:pt x="0" y="0"/>
                              </a:moveTo>
                              <a:lnTo>
                                <a:pt x="21600" y="21600"/>
                              </a:lnTo>
                            </a:path>
                          </a:pathLst>
                        </a:custGeom>
                        <a:noFill/>
                        <a:ln w="38160">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5" stroked="t" style="position:absolute;margin-left:384.4pt;margin-top:29.05pt;width:28.3pt;height:85pt;flip:x" wp14:anchorId="0DA84E95" type="shapetype_32">
                <w10:wrap type="none"/>
                <v:fill o:detectmouseclick="t" on="false"/>
                <v:stroke color="#4a7ebb" weight="38160" endarrow="block" endarrowwidth="medium" endarrowlength="medium" joinstyle="round" endcap="flat"/>
              </v:shape>
            </w:pict>
          </mc:Fallback>
        </mc:AlternateContent>
        <w:drawing>
          <wp:anchor behindDoc="0" distT="36195" distB="36195" distL="114300" distR="114300" simplePos="0" locked="0" layoutInCell="1" allowOverlap="1" relativeHeight="11">
            <wp:simplePos x="0" y="0"/>
            <wp:positionH relativeFrom="column">
              <wp:align>center</wp:align>
            </wp:positionH>
            <wp:positionV relativeFrom="paragraph">
              <wp:posOffset>584200</wp:posOffset>
            </wp:positionV>
            <wp:extent cx="6120130" cy="1678305"/>
            <wp:effectExtent l="0" t="0" r="0" b="0"/>
            <wp:wrapTopAndBottom/>
            <wp:docPr id="15" name="Imag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3" descr=""/>
                    <pic:cNvPicPr>
                      <a:picLocks noChangeAspect="1" noChangeArrowheads="1"/>
                    </pic:cNvPicPr>
                  </pic:nvPicPr>
                  <pic:blipFill>
                    <a:blip r:embed="rId7"/>
                    <a:stretch>
                      <a:fillRect/>
                    </a:stretch>
                  </pic:blipFill>
                  <pic:spPr bwMode="auto">
                    <a:xfrm>
                      <a:off x="0" y="0"/>
                      <a:ext cx="6120130" cy="1678305"/>
                    </a:xfrm>
                    <a:prstGeom prst="rect">
                      <a:avLst/>
                    </a:prstGeom>
                  </pic:spPr>
                </pic:pic>
              </a:graphicData>
            </a:graphic>
          </wp:anchor>
        </w:drawing>
      </w:r>
      <w:r>
        <w:rPr/>
        <w:t>Cette étape est à mon avis très importante ! Si on utilise la méthode classique pour mettre notre fonction dans la 3</w:t>
      </w:r>
      <w:r>
        <w:rPr>
          <w:vertAlign w:val="superscript"/>
        </w:rPr>
        <w:t>ème</w:t>
      </w:r>
      <w:r>
        <w:rPr/>
        <w:t xml:space="preserve"> colonne, voici ce qu’on devrait rentrer ; et cela devient peu lisible si on compare à ça :</w:t>
      </w:r>
    </w:p>
    <w:p>
      <w:pPr>
        <w:pStyle w:val="Normal"/>
        <w:jc w:val="both"/>
        <w:rPr/>
      </w:pPr>
      <w:r>
        <w:rPr/>
      </w:r>
    </w:p>
    <w:p>
      <w:pPr>
        <w:pStyle w:val="Normal"/>
        <w:jc w:val="both"/>
        <w:rPr/>
      </w:pPr>
      <w:r>
        <w:drawing>
          <wp:anchor behindDoc="0" distT="36195" distB="36195" distL="252095" distR="0" simplePos="0" locked="0" layoutInCell="1" allowOverlap="1" relativeHeight="14">
            <wp:simplePos x="0" y="0"/>
            <wp:positionH relativeFrom="column">
              <wp:align>right</wp:align>
            </wp:positionH>
            <wp:positionV relativeFrom="paragraph">
              <wp:posOffset>71755</wp:posOffset>
            </wp:positionV>
            <wp:extent cx="2879725" cy="2023110"/>
            <wp:effectExtent l="0" t="0" r="0" b="0"/>
            <wp:wrapSquare wrapText="largest"/>
            <wp:docPr id="16"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descr=""/>
                    <pic:cNvPicPr>
                      <a:picLocks noChangeAspect="1" noChangeArrowheads="1"/>
                    </pic:cNvPicPr>
                  </pic:nvPicPr>
                  <pic:blipFill>
                    <a:blip r:embed="rId8"/>
                    <a:stretch>
                      <a:fillRect/>
                    </a:stretch>
                  </pic:blipFill>
                  <pic:spPr bwMode="auto">
                    <a:xfrm>
                      <a:off x="0" y="0"/>
                      <a:ext cx="2879725" cy="2023110"/>
                    </a:xfrm>
                    <a:prstGeom prst="rect">
                      <a:avLst/>
                    </a:prstGeom>
                  </pic:spPr>
                </pic:pic>
              </a:graphicData>
            </a:graphic>
          </wp:anchor>
        </w:drawing>
      </w:r>
      <w:r>
        <w:rPr/>
        <w:t>I</w:t>
      </w:r>
      <w:r>
        <w:rPr/>
        <w:t xml:space="preserve">l est judicieux de nommer les cellules : pour ce faire, cliquez sur la cellule, puis dans </w:t>
      </w:r>
      <w:r>
        <w:rPr>
          <w:i/>
        </w:rPr>
        <w:t>Formules</w:t>
      </w:r>
      <w:r>
        <w:rPr/>
        <w:t xml:space="preserve">, allez sur </w:t>
      </w:r>
      <w:r>
        <w:rPr>
          <w:i/>
        </w:rPr>
        <w:t>Définir un nom</w:t>
      </w:r>
      <w:r>
        <w:rPr/>
        <w:t xml:space="preserve"> en faisant attention à l’étendue (Zone) dans laquelle sera valable ce nom : veillez à ce que le nom soit valable uniquement dans la feuille sélectionnée car cela vous permettra de faire d’autres simulations sur d’autres feuilles)</w:t>
      </w:r>
    </w:p>
    <w:p>
      <w:pPr>
        <w:pStyle w:val="Normal"/>
        <w:jc w:val="both"/>
        <w:rPr>
          <w:b/>
          <w:b/>
          <w:i/>
          <w:i/>
          <w:color w:val="17365D" w:themeColor="text2" w:themeShade="bf"/>
        </w:rPr>
      </w:pPr>
      <w:r>
        <w:rPr>
          <w:b/>
          <w:i/>
          <w:color w:val="17365D" w:themeColor="text2" w:themeShade="bf"/>
        </w:rPr>
        <w:t>Cellules nommées :</w:t>
      </w:r>
    </w:p>
    <w:p>
      <w:pPr>
        <w:pStyle w:val="Normal"/>
        <w:tabs>
          <w:tab w:val="center" w:pos="7371" w:leader="none"/>
        </w:tabs>
        <w:jc w:val="both"/>
        <w:rPr>
          <w:i/>
          <w:i/>
        </w:rPr>
      </w:pPr>
      <w:r>
        <w:rPr/>
        <w:t>Vous devez donc nommer les cellules contenant les valeurs (et non pas les entêtes, erreur que font souvent les élèves) des paramètres et des plages des variables (</w:t>
      </w:r>
      <w:r>
        <w:rPr>
          <w:b/>
          <w:i/>
        </w:rPr>
        <w:t>a</w:t>
      </w:r>
      <w:r>
        <w:rPr>
          <w:i/>
        </w:rPr>
        <w:t xml:space="preserve"> désigne une valeur, </w:t>
      </w:r>
      <w:r>
        <w:rPr>
          <w:b/>
          <w:i/>
        </w:rPr>
        <w:t>t</w:t>
      </w:r>
      <w:r>
        <w:rPr>
          <w:i/>
        </w:rPr>
        <w:t xml:space="preserve"> une plage</w:t>
      </w:r>
      <w:r>
        <w:rPr/>
        <w:t>).</w:t>
        <w:tab/>
      </w:r>
      <w:r>
        <w:rPr>
          <w:i/>
        </w:rPr>
        <w:t>Excel vous propose un nom par défaut !</w:t>
      </w:r>
    </w:p>
    <w:p>
      <w:pPr>
        <w:pStyle w:val="Normal"/>
        <w:jc w:val="both"/>
        <w:rPr>
          <w:b/>
          <w:b/>
          <w:i/>
          <w:i/>
          <w:color w:val="17365D" w:themeColor="text2" w:themeShade="bf"/>
        </w:rPr>
      </w:pPr>
      <w:r>
        <w:rPr>
          <w:b/>
          <w:i/>
          <w:color w:val="17365D" w:themeColor="text2" w:themeShade="bf"/>
        </w:rPr>
        <w:t>Contrôle</w:t>
      </w:r>
    </w:p>
    <w:p>
      <w:pPr>
        <w:pStyle w:val="Normal"/>
        <w:jc w:val="both"/>
        <w:rPr/>
      </w:pPr>
      <w:r>
        <w:drawing>
          <wp:anchor behindDoc="0" distT="36195" distB="44450" distL="252095" distR="0" simplePos="0" locked="0" layoutInCell="1" allowOverlap="1" relativeHeight="15">
            <wp:simplePos x="0" y="0"/>
            <wp:positionH relativeFrom="column">
              <wp:align>right</wp:align>
            </wp:positionH>
            <wp:positionV relativeFrom="paragraph">
              <wp:posOffset>71755</wp:posOffset>
            </wp:positionV>
            <wp:extent cx="3239770" cy="1382395"/>
            <wp:effectExtent l="0" t="0" r="0" b="0"/>
            <wp:wrapSquare wrapText="largest"/>
            <wp:docPr id="17"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
                    <pic:cNvPicPr>
                      <a:picLocks noChangeAspect="1" noChangeArrowheads="1"/>
                    </pic:cNvPicPr>
                  </pic:nvPicPr>
                  <pic:blipFill>
                    <a:blip r:embed="rId9"/>
                    <a:srcRect l="0" t="0" r="0" b="45900"/>
                    <a:stretch>
                      <a:fillRect/>
                    </a:stretch>
                  </pic:blipFill>
                  <pic:spPr bwMode="auto">
                    <a:xfrm>
                      <a:off x="0" y="0"/>
                      <a:ext cx="3239770" cy="1382395"/>
                    </a:xfrm>
                    <a:prstGeom prst="rect">
                      <a:avLst/>
                    </a:prstGeom>
                  </pic:spPr>
                </pic:pic>
              </a:graphicData>
            </a:graphic>
          </wp:anchor>
        </w:drawing>
      </w:r>
      <w:r>
        <w:rPr/>
        <w:t>P</w:t>
      </w:r>
      <w:r>
        <w:rPr/>
        <w:t xml:space="preserve">our gérer les cellules nommées, allez dans </w:t>
      </w:r>
      <w:r>
        <w:rPr>
          <w:i/>
        </w:rPr>
        <w:t>Formules / Gestionnaire de noms </w:t>
      </w:r>
      <w:r>
        <w:rPr/>
        <w:t>: vous pouvez voir les noms que vous avez définis, leurs références cellulaires.</w:t>
      </w:r>
    </w:p>
    <w:p>
      <w:pPr>
        <w:pStyle w:val="Normal"/>
        <w:jc w:val="both"/>
        <w:rPr/>
      </w:pPr>
      <w:r>
        <w:rPr/>
        <w:t xml:space="preserve">Dans l’exemple ci-contre, </w:t>
      </w:r>
      <w:r>
        <w:rPr>
          <w:b/>
          <w:i/>
        </w:rPr>
        <w:t>τ</w:t>
      </w:r>
      <w:r>
        <w:rPr>
          <w:b/>
        </w:rPr>
        <w:t xml:space="preserve"> </w:t>
      </w:r>
      <w:r>
        <w:rPr/>
        <w:t xml:space="preserve">fait référence à la période située en G7 (paramètre unique) alors que </w:t>
      </w:r>
      <w:r>
        <w:rPr>
          <w:b/>
          <w:i/>
        </w:rPr>
        <w:t>t</w:t>
      </w:r>
      <w:r>
        <w:rPr/>
        <w:t xml:space="preserve"> fait référence à la plage A2:A181.</w:t>
      </w:r>
    </w:p>
    <w:p>
      <w:pPr>
        <w:pStyle w:val="Normal"/>
        <w:jc w:val="both"/>
        <w:rPr>
          <w:b/>
          <w:b/>
          <w:i/>
          <w:i/>
          <w:color w:val="17365D" w:themeColor="text2" w:themeShade="bf"/>
        </w:rPr>
      </w:pPr>
      <w:r>
        <w:rPr>
          <w:b/>
          <w:i/>
          <w:color w:val="17365D" w:themeColor="text2" w:themeShade="bf"/>
        </w:rPr>
        <w:t>Avantage</w:t>
      </w:r>
    </w:p>
    <w:p>
      <w:pPr>
        <w:pStyle w:val="Normal"/>
        <w:jc w:val="both"/>
        <w:rPr/>
      </w:pPr>
      <w:r>
        <w:rPr/>
        <w:t>Plutôt que de rentrer les formules avec le référencement des cellules, on peut les rentrer en utilisant le nom des cellules que l’on vient de définir : les équations deviennent alors nettement plus lisibles, faciles à appréhender et à lire : elles sont uniformes d’une cellule à l’autre et ressemble fortement à l’écriture littérale.</w:t>
      </w:r>
    </w:p>
    <w:p>
      <w:pPr>
        <w:pStyle w:val="Normal"/>
        <w:jc w:val="both"/>
        <w:rPr/>
      </w:pPr>
      <w:r>
        <w:rPr/>
      </w:r>
      <w:r>
        <w:br w:type="page"/>
      </w:r>
    </w:p>
    <w:p>
      <w:pPr>
        <w:pStyle w:val="Normal"/>
        <w:jc w:val="both"/>
        <w:rPr/>
      </w:pPr>
      <w:r>
        <mc:AlternateContent>
          <mc:Choice Requires="wps">
            <w:drawing>
              <wp:anchor behindDoc="0" distT="0" distB="0" distL="114300" distR="114300" simplePos="0" locked="0" layoutInCell="1" allowOverlap="1" relativeHeight="17" wp14:anchorId="36E9AF34">
                <wp:simplePos x="0" y="0"/>
                <wp:positionH relativeFrom="column">
                  <wp:posOffset>1671955</wp:posOffset>
                </wp:positionH>
                <wp:positionV relativeFrom="paragraph">
                  <wp:posOffset>162560</wp:posOffset>
                </wp:positionV>
                <wp:extent cx="540385" cy="288925"/>
                <wp:effectExtent l="19050" t="19050" r="69850" b="55245"/>
                <wp:wrapNone/>
                <wp:docPr id="18" name="Connecteur droit avec flèche 19"/>
                <a:graphic xmlns:a="http://schemas.openxmlformats.org/drawingml/2006/main">
                  <a:graphicData uri="http://schemas.microsoft.com/office/word/2010/wordprocessingShape">
                    <wps:wsp>
                      <wps:cNvSpPr/>
                      <wps:spPr>
                        <a:xfrm>
                          <a:off x="0" y="0"/>
                          <a:ext cx="539640" cy="288360"/>
                        </a:xfrm>
                        <a:custGeom>
                          <a:avLst/>
                          <a:gdLst/>
                          <a:ahLst/>
                          <a:rect l="l" t="t" r="r" b="b"/>
                          <a:pathLst>
                            <a:path w="21600" h="21600">
                              <a:moveTo>
                                <a:pt x="0" y="0"/>
                              </a:moveTo>
                              <a:lnTo>
                                <a:pt x="21600" y="21600"/>
                              </a:lnTo>
                            </a:path>
                          </a:pathLst>
                        </a:custGeom>
                        <a:noFill/>
                        <a:ln w="38160">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19" stroked="t" style="position:absolute;margin-left:131.65pt;margin-top:12.8pt;width:42.45pt;height:22.65pt" wp14:anchorId="36E9AF34" type="shapetype_32">
                <w10:wrap type="none"/>
                <v:fill o:detectmouseclick="t" on="false"/>
                <v:stroke color="#4a7ebb" weight="38160" endarrow="block" endarrowwidth="medium" endarrowlength="medium" joinstyle="round" endcap="flat"/>
              </v:shape>
            </w:pict>
          </mc:Fallback>
        </mc:AlternateContent>
        <mc:AlternateContent>
          <mc:Choice Requires="wps">
            <w:drawing>
              <wp:anchor behindDoc="0" distT="0" distB="0" distL="114300" distR="114300" simplePos="0" locked="0" layoutInCell="1" allowOverlap="1" relativeHeight="18" wp14:anchorId="361E1913">
                <wp:simplePos x="0" y="0"/>
                <wp:positionH relativeFrom="column">
                  <wp:posOffset>2956560</wp:posOffset>
                </wp:positionH>
                <wp:positionV relativeFrom="paragraph">
                  <wp:posOffset>608330</wp:posOffset>
                </wp:positionV>
                <wp:extent cx="1005840" cy="742315"/>
                <wp:effectExtent l="19050" t="19050" r="43180" b="39370"/>
                <wp:wrapNone/>
                <wp:docPr id="19" name="Connecteur droit avec flèche 20"/>
                <a:graphic xmlns:a="http://schemas.openxmlformats.org/drawingml/2006/main">
                  <a:graphicData uri="http://schemas.microsoft.com/office/word/2010/wordprocessingShape">
                    <wps:wsp>
                      <wps:cNvSpPr/>
                      <wps:spPr>
                        <a:xfrm>
                          <a:off x="0" y="0"/>
                          <a:ext cx="1005120" cy="741600"/>
                        </a:xfrm>
                        <a:custGeom>
                          <a:avLst/>
                          <a:gdLst/>
                          <a:ahLst/>
                          <a:rect l="l" t="t" r="r" b="b"/>
                          <a:pathLst>
                            <a:path w="21600" h="21600">
                              <a:moveTo>
                                <a:pt x="0" y="0"/>
                              </a:moveTo>
                              <a:lnTo>
                                <a:pt x="21600" y="21600"/>
                              </a:lnTo>
                            </a:path>
                          </a:pathLst>
                        </a:custGeom>
                        <a:noFill/>
                        <a:ln w="38160">
                          <a:solidFill>
                            <a:srgbClr val="4a7ebb"/>
                          </a:solidFill>
                          <a:round/>
                          <a:tailEnd len="med" type="triangle" w="med"/>
                        </a:ln>
                      </wps:spPr>
                      <wps:style>
                        <a:lnRef idx="1">
                          <a:schemeClr val="accent1"/>
                        </a:lnRef>
                        <a:fillRef idx="0">
                          <a:schemeClr val="accent1"/>
                        </a:fillRef>
                        <a:effectRef idx="0">
                          <a:schemeClr val="accent1"/>
                        </a:effectRef>
                        <a:fontRef idx="minor"/>
                      </wps:style>
                      <wps:bodyPr/>
                    </wps:wsp>
                  </a:graphicData>
                </a:graphic>
              </wp:anchor>
            </w:drawing>
          </mc:Choice>
          <mc:Fallback>
            <w:pict>
              <v:shape id="shape_0" ID="Connecteur droit avec flèche 20" stroked="t" style="position:absolute;margin-left:232.8pt;margin-top:47.9pt;width:79.1pt;height:58.35pt" wp14:anchorId="361E1913" type="shapetype_32">
                <w10:wrap type="none"/>
                <v:fill o:detectmouseclick="t" on="false"/>
                <v:stroke color="#4a7ebb" weight="38160" endarrow="block" endarrowwidth="medium" endarrowlength="medium" joinstyle="round" endcap="flat"/>
              </v:shape>
            </w:pict>
          </mc:Fallback>
        </mc:AlternateContent>
        <w:drawing>
          <wp:anchor behindDoc="0" distT="36195" distB="36195" distL="114300" distR="114300" simplePos="0" locked="0" layoutInCell="1" allowOverlap="1" relativeHeight="16">
            <wp:simplePos x="0" y="0"/>
            <wp:positionH relativeFrom="column">
              <wp:align>center</wp:align>
            </wp:positionH>
            <wp:positionV relativeFrom="paragraph">
              <wp:posOffset>402590</wp:posOffset>
            </wp:positionV>
            <wp:extent cx="6120130" cy="1721485"/>
            <wp:effectExtent l="0" t="0" r="0" b="0"/>
            <wp:wrapTopAndBottom/>
            <wp:docPr id="20"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8" descr=""/>
                    <pic:cNvPicPr>
                      <a:picLocks noChangeAspect="1" noChangeArrowheads="1"/>
                    </pic:cNvPicPr>
                  </pic:nvPicPr>
                  <pic:blipFill>
                    <a:blip r:embed="rId10"/>
                    <a:stretch>
                      <a:fillRect/>
                    </a:stretch>
                  </pic:blipFill>
                  <pic:spPr bwMode="auto">
                    <a:xfrm>
                      <a:off x="0" y="0"/>
                      <a:ext cx="6120130" cy="1721485"/>
                    </a:xfrm>
                    <a:prstGeom prst="rect">
                      <a:avLst/>
                    </a:prstGeom>
                  </pic:spPr>
                </pic:pic>
              </a:graphicData>
            </a:graphic>
          </wp:anchor>
        </w:drawing>
      </w:r>
      <w:r>
        <w:rPr/>
        <w:t>Ainsi, vous pouvez observer maintenant le contenu de la cellule si je rentre le nom des cellules nommées :</w:t>
      </w:r>
    </w:p>
    <w:p>
      <w:pPr>
        <w:pStyle w:val="Normal"/>
        <w:jc w:val="both"/>
        <w:rPr/>
      </w:pPr>
      <w:r>
        <w:rPr/>
        <w:t>Cliquez sur n’importe quelle cellule de la colonne, on a strictement la même formule !</w:t>
      </w:r>
    </w:p>
    <w:p>
      <w:pPr>
        <w:pStyle w:val="Normal"/>
        <w:jc w:val="both"/>
        <w:rPr/>
      </w:pPr>
      <w:r>
        <w:rPr/>
      </w:r>
    </w:p>
    <w:p>
      <w:pPr>
        <w:pStyle w:val="Titre3"/>
        <w:spacing w:before="120" w:after="120"/>
        <w:jc w:val="both"/>
        <w:rPr>
          <w:b/>
          <w:b/>
          <w:i/>
          <w:i/>
          <w:sz w:val="28"/>
          <w:szCs w:val="28"/>
        </w:rPr>
      </w:pPr>
      <w:r>
        <w:rPr>
          <w:b/>
          <w:i/>
          <w:sz w:val="28"/>
          <w:szCs w:val="28"/>
        </w:rPr>
        <w:t>La modélisation en elle-même</w:t>
      </w:r>
    </w:p>
    <w:p>
      <w:pPr>
        <w:pStyle w:val="Normal"/>
        <w:jc w:val="both"/>
        <w:rPr>
          <w:b/>
          <w:b/>
          <w:i/>
          <w:i/>
          <w:color w:val="17365D" w:themeColor="text2" w:themeShade="bf"/>
        </w:rPr>
      </w:pPr>
      <w:r>
        <w:rPr>
          <w:b/>
          <w:i/>
          <w:color w:val="17365D" w:themeColor="text2" w:themeShade="bf"/>
        </w:rPr>
        <w:t>Les moindres carrés</w:t>
      </w:r>
    </w:p>
    <w:p>
      <w:pPr>
        <w:pStyle w:val="Normal"/>
        <w:jc w:val="both"/>
        <w:rPr/>
      </w:pPr>
      <w:r>
        <w:drawing>
          <wp:anchor behindDoc="0" distT="36195" distB="42545" distL="252095" distR="0" simplePos="0" locked="0" layoutInCell="1" allowOverlap="1" relativeHeight="19">
            <wp:simplePos x="0" y="0"/>
            <wp:positionH relativeFrom="column">
              <wp:align>right</wp:align>
            </wp:positionH>
            <wp:positionV relativeFrom="paragraph">
              <wp:posOffset>71755</wp:posOffset>
            </wp:positionV>
            <wp:extent cx="2879725" cy="1213485"/>
            <wp:effectExtent l="0" t="0" r="0" b="0"/>
            <wp:wrapSquare wrapText="largest"/>
            <wp:docPr id="21"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4" descr=""/>
                    <pic:cNvPicPr>
                      <a:picLocks noChangeAspect="1" noChangeArrowheads="1"/>
                    </pic:cNvPicPr>
                  </pic:nvPicPr>
                  <pic:blipFill>
                    <a:blip r:embed="rId11"/>
                    <a:stretch>
                      <a:fillRect/>
                    </a:stretch>
                  </pic:blipFill>
                  <pic:spPr bwMode="auto">
                    <a:xfrm>
                      <a:off x="0" y="0"/>
                      <a:ext cx="2879725" cy="1213485"/>
                    </a:xfrm>
                    <a:prstGeom prst="rect">
                      <a:avLst/>
                    </a:prstGeom>
                  </pic:spPr>
                </pic:pic>
              </a:graphicData>
            </a:graphic>
          </wp:anchor>
        </w:drawing>
      </w:r>
      <w:r>
        <w:rPr/>
        <w:t>D</w:t>
      </w:r>
      <w:r>
        <w:rPr/>
        <w:t xml:space="preserve">ans la colonne des </w:t>
      </w:r>
      <w:r>
        <w:rPr>
          <w:b/>
          <w:i/>
        </w:rPr>
        <w:t>Ecarts quad.</w:t>
      </w:r>
      <w:r>
        <w:rPr/>
        <w:t>, il suffit de saisir la différence quadratique entre les valeurs théoriques et expérimentales.</w:t>
      </w:r>
    </w:p>
    <w:p>
      <w:pPr>
        <w:pStyle w:val="Normal"/>
        <w:jc w:val="both"/>
        <w:rPr/>
      </w:pPr>
      <w:r>
        <w:rPr/>
        <w:t>Pour cela, on rentre donc tout simplement " =(Aexp – Ath)^2".</w:t>
      </w:r>
    </w:p>
    <w:p>
      <w:pPr>
        <w:pStyle w:val="Normal"/>
        <w:jc w:val="both"/>
        <w:rPr/>
      </w:pPr>
      <w:r>
        <w:rPr/>
        <w:t>Dans le paramètre du solveur (sous l’étiquette "Solveur"), on rentre de même "=somme(eQuad)", puisque c’est ainsi que j’ai nommé ma colonne des écarts.</w:t>
      </w:r>
    </w:p>
    <w:p>
      <w:pPr>
        <w:pStyle w:val="Normal"/>
        <w:jc w:val="both"/>
        <w:rPr/>
      </w:pPr>
      <w:r>
        <w:rPr/>
      </w:r>
    </w:p>
    <w:p>
      <w:pPr>
        <w:pStyle w:val="Normal"/>
        <w:jc w:val="both"/>
        <w:rPr>
          <w:b/>
          <w:b/>
          <w:i/>
          <w:i/>
          <w:color w:val="17365D" w:themeColor="text2" w:themeShade="bf"/>
        </w:rPr>
      </w:pPr>
      <w:r>
        <w:rPr>
          <w:b/>
          <w:i/>
          <w:color w:val="17365D" w:themeColor="text2" w:themeShade="bf"/>
        </w:rPr>
        <w:t>Le solveur</w:t>
      </w:r>
    </w:p>
    <w:p>
      <w:pPr>
        <w:pStyle w:val="Normal"/>
        <w:jc w:val="both"/>
        <w:rPr/>
      </w:pPr>
      <w:r>
        <w:rPr/>
        <w:t>Voilà, il ne nous reste plus qu’à utiliser le solveur, mais aidons un peu Excel en mettant des valeurs approximatives dans les cellules contenant les paramètres</w:t>
      </w:r>
    </w:p>
    <w:p>
      <w:pPr>
        <w:pStyle w:val="Normal"/>
        <w:jc w:val="both"/>
        <w:rPr/>
      </w:pPr>
      <w:r>
        <w:drawing>
          <wp:anchor behindDoc="0" distT="36195" distB="38735" distL="252095" distR="0" simplePos="0" locked="0" layoutInCell="1" allowOverlap="1" relativeHeight="20">
            <wp:simplePos x="0" y="0"/>
            <wp:positionH relativeFrom="column">
              <wp:align>right</wp:align>
            </wp:positionH>
            <wp:positionV relativeFrom="paragraph">
              <wp:posOffset>71755</wp:posOffset>
            </wp:positionV>
            <wp:extent cx="4319905" cy="1997710"/>
            <wp:effectExtent l="0" t="0" r="0" b="0"/>
            <wp:wrapSquare wrapText="largest"/>
            <wp:docPr id="22" name="Imag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5" descr=""/>
                    <pic:cNvPicPr>
                      <a:picLocks noChangeAspect="1" noChangeArrowheads="1"/>
                    </pic:cNvPicPr>
                  </pic:nvPicPr>
                  <pic:blipFill>
                    <a:blip r:embed="rId12"/>
                    <a:stretch>
                      <a:fillRect/>
                    </a:stretch>
                  </pic:blipFill>
                  <pic:spPr bwMode="auto">
                    <a:xfrm>
                      <a:off x="0" y="0"/>
                      <a:ext cx="4319905" cy="1997710"/>
                    </a:xfrm>
                    <a:prstGeom prst="rect">
                      <a:avLst/>
                    </a:prstGeom>
                  </pic:spPr>
                </pic:pic>
              </a:graphicData>
            </a:graphic>
          </wp:anchor>
        </w:drawing>
      </w:r>
      <w:r>
        <w:rPr/>
        <w:t>E</w:t>
      </w:r>
      <w:r>
        <w:rPr/>
        <w:t>nsuite, on clique sur la cellule contenant la somme des écarts (sous l’étiquette "Solveur", on va dans données et on active l’outil Solveur.</w:t>
      </w:r>
    </w:p>
    <w:p>
      <w:pPr>
        <w:pStyle w:val="Normal"/>
        <w:jc w:val="both"/>
        <w:rPr/>
      </w:pPr>
      <w:r>
        <w:rPr/>
        <w:t>On minimise la valeur de la somme quadratique en choisissant les cellules contenant les paramètres comme cellules variables</w:t>
      </w:r>
    </w:p>
    <w:p>
      <w:pPr>
        <w:pStyle w:val="Normal"/>
        <w:rPr/>
      </w:pPr>
      <w:r>
        <w:rPr/>
      </w:r>
      <w:r>
        <w:br w:type="page"/>
      </w:r>
    </w:p>
    <w:p>
      <w:pPr>
        <w:pStyle w:val="Titre3"/>
        <w:spacing w:before="120" w:after="120"/>
        <w:jc w:val="both"/>
        <w:rPr>
          <w:b/>
          <w:b/>
          <w:i/>
          <w:i/>
          <w:sz w:val="28"/>
          <w:szCs w:val="28"/>
        </w:rPr>
      </w:pPr>
      <w:r>
        <w:rPr>
          <w:b/>
          <w:i/>
          <w:sz w:val="28"/>
          <w:szCs w:val="28"/>
        </w:rPr>
        <w:t>En complément</w:t>
      </w:r>
    </w:p>
    <w:p>
      <w:pPr>
        <w:pStyle w:val="Normal"/>
        <w:jc w:val="both"/>
        <w:rPr/>
      </w:pPr>
      <w:r/>
      <w:r>
        <w:rPr>
          <w:b/>
          <w:i/>
          <w:color w:val="17365D" w:themeColor="text2" w:themeShade="bf"/>
        </w:rPr>
        <w:drawing>
          <wp:inline distT="0" distB="0" distL="0" distR="0">
            <wp:extent cx="6120130" cy="3847465"/>
            <wp:effectExtent l="0" t="0" r="0" b="0"/>
            <wp:docPr id="2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t>L</w:t>
      </w:r>
      <w:r>
        <w:rPr>
          <w:b/>
          <w:i/>
          <w:color w:val="17365D" w:themeColor="text2" w:themeShade="bf"/>
        </w:rPr>
        <w:t>es courbes obtenues</w:t>
      </w:r>
      <w:r>
        <w:rPr/>
        <w:t> : on veille à ce que les valeurs expérimentales soient des points et les valeurs théoriques une belle courbe rouge ! Et le tour est joué !</w:t>
      </w:r>
    </w:p>
    <w:p>
      <w:pPr>
        <w:pStyle w:val="Normal"/>
        <w:jc w:val="both"/>
        <w:rPr/>
      </w:pPr>
      <w:r>
        <w:rPr/>
        <w:t xml:space="preserve">Le Fichier Excel est fourni en annexe </w:t>
      </w:r>
      <w:bookmarkStart w:id="0" w:name="_GoBack"/>
      <w:bookmarkEnd w:id="0"/>
      <w:r>
        <w:rPr/>
        <w:t>avec ce document.</w:t>
      </w:r>
    </w:p>
    <w:p>
      <w:pPr>
        <w:pStyle w:val="Normal"/>
        <w:spacing w:before="0" w:after="120"/>
        <w:jc w:val="right"/>
        <w:rPr/>
      </w:pPr>
      <w:r>
        <w:rPr/>
        <w:t>Bruno Herrbach, lycée Jean Rostand – janvier 2019</w:t>
      </w:r>
    </w:p>
    <w:sectPr>
      <w:type w:val="nextPage"/>
      <w:pgSz w:w="11906" w:h="16838"/>
      <w:pgMar w:left="1134" w:right="1134" w:header="0" w:top="1134" w:footer="0" w:bottom="1134" w:gutter="0"/>
      <w:pgNumType w:fmt="decimal"/>
      <w:formProt w:val="false"/>
      <w:textDirection w:val="lrTb"/>
      <w:docGrid w:type="default" w:linePitch="326"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swiss"/>
    <w:pitch w:val="variable"/>
  </w:font>
  <w:font w:name="Wingdings">
    <w:charset w:val="02"/>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12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701dc0"/>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32"/>
      <w:szCs w:val="32"/>
    </w:rPr>
  </w:style>
  <w:style w:type="paragraph" w:styleId="Titre2">
    <w:name w:val="Heading 2"/>
    <w:basedOn w:val="Normal"/>
    <w:next w:val="Normal"/>
    <w:link w:val="Titre2Car"/>
    <w:uiPriority w:val="9"/>
    <w:unhideWhenUsed/>
    <w:qFormat/>
    <w:rsid w:val="00d9723f"/>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Titre3">
    <w:name w:val="Heading 3"/>
    <w:basedOn w:val="Normal"/>
    <w:next w:val="Normal"/>
    <w:link w:val="Titre3Car"/>
    <w:uiPriority w:val="9"/>
    <w:unhideWhenUsed/>
    <w:qFormat/>
    <w:rsid w:val="002a6d70"/>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Cours1Car" w:customStyle="1">
    <w:name w:val="Cours 1 Car"/>
    <w:basedOn w:val="DefaultParagraphFont"/>
    <w:link w:val="Cours1"/>
    <w:qFormat/>
    <w:rsid w:val="00685d22"/>
    <w:rPr>
      <w:rFonts w:ascii="Cambria" w:hAnsi="Cambria" w:eastAsia="Times New Roman" w:cs="Times New Roman"/>
      <w:sz w:val="28"/>
      <w:szCs w:val="20"/>
      <w:u w:val="thick" w:color="FF0000"/>
      <w:lang w:eastAsia="fr-FR"/>
    </w:rPr>
  </w:style>
  <w:style w:type="character" w:styleId="Cours2Car" w:customStyle="1">
    <w:name w:val="Cours 2 Car"/>
    <w:basedOn w:val="DefaultParagraphFont"/>
    <w:link w:val="Cours2"/>
    <w:qFormat/>
    <w:rsid w:val="00685d22"/>
    <w:rPr>
      <w:rFonts w:ascii="Cambria" w:hAnsi="Cambria" w:eastAsia="Times New Roman" w:cs="Times New Roman"/>
      <w:sz w:val="24"/>
      <w:szCs w:val="24"/>
      <w:u w:val="single" w:color="FF0000"/>
      <w:lang w:eastAsia="fr-FR"/>
    </w:rPr>
  </w:style>
  <w:style w:type="character" w:styleId="Cours3Car" w:customStyle="1">
    <w:name w:val="Cours 3 Car"/>
    <w:basedOn w:val="DefaultParagraphFont"/>
    <w:link w:val="Cours3"/>
    <w:qFormat/>
    <w:rsid w:val="00685d22"/>
    <w:rPr>
      <w:rFonts w:ascii="Times New Roman" w:hAnsi="Times New Roman" w:eastAsia="Times New Roman" w:cs="Times New Roman"/>
      <w:sz w:val="24"/>
      <w:szCs w:val="24"/>
      <w:u w:val="dash" w:color="FF0000"/>
      <w:lang w:eastAsia="fr-FR"/>
    </w:rPr>
  </w:style>
  <w:style w:type="character" w:styleId="Cours4Car" w:customStyle="1">
    <w:name w:val="Cours 4 Car"/>
    <w:basedOn w:val="Cours3Car"/>
    <w:link w:val="Cours4"/>
    <w:qFormat/>
    <w:rsid w:val="00685d22"/>
    <w:rPr>
      <w:rFonts w:ascii="Times New Roman" w:hAnsi="Times New Roman" w:eastAsia="Times New Roman" w:cs="Times New Roman"/>
      <w:sz w:val="24"/>
      <w:szCs w:val="24"/>
      <w:u w:val="dash" w:color="FF0000"/>
      <w:lang w:eastAsia="fr-FR"/>
    </w:rPr>
  </w:style>
  <w:style w:type="character" w:styleId="CoursdtailCar" w:customStyle="1">
    <w:name w:val="Cours détail Car"/>
    <w:basedOn w:val="DefaultParagraphFont"/>
    <w:link w:val="Coursdtail"/>
    <w:qFormat/>
    <w:rsid w:val="00685d22"/>
    <w:rPr>
      <w:rFonts w:ascii="Times New Roman" w:hAnsi="Times New Roman" w:eastAsia="Times New Roman" w:cs="Times New Roman"/>
      <w:sz w:val="24"/>
      <w:szCs w:val="24"/>
      <w:lang w:eastAsia="fr-FR"/>
    </w:rPr>
  </w:style>
  <w:style w:type="character" w:styleId="CourssousdtailCar" w:customStyle="1">
    <w:name w:val="Cours sous détail Car"/>
    <w:basedOn w:val="CoursdtailCar"/>
    <w:link w:val="Courssousdtail"/>
    <w:qFormat/>
    <w:rsid w:val="00685d22"/>
    <w:rPr>
      <w:rFonts w:ascii="Times New Roman" w:hAnsi="Times New Roman" w:eastAsia="Times New Roman" w:cs="Times New Roman"/>
      <w:sz w:val="24"/>
      <w:szCs w:val="24"/>
      <w:lang w:eastAsia="fr-FR"/>
    </w:rPr>
  </w:style>
  <w:style w:type="character" w:styleId="CoursTitreCar" w:customStyle="1">
    <w:name w:val="Cours Titre Car"/>
    <w:basedOn w:val="DefaultParagraphFont"/>
    <w:link w:val="CoursTitre"/>
    <w:qFormat/>
    <w:rsid w:val="00685d22"/>
    <w:rPr>
      <w:rFonts w:ascii="Cambria" w:hAnsi="Cambria" w:eastAsia="Times New Roman" w:cs="Times New Roman"/>
      <w:b/>
      <w:sz w:val="32"/>
      <w:szCs w:val="20"/>
      <w:u w:val="double" w:color="FF0000"/>
      <w:lang w:eastAsia="fr-FR"/>
    </w:rPr>
  </w:style>
  <w:style w:type="character" w:styleId="Titre1Car" w:customStyle="1">
    <w:name w:val="Titre 1 Car"/>
    <w:basedOn w:val="DefaultParagraphFont"/>
    <w:link w:val="Titre1"/>
    <w:uiPriority w:val="9"/>
    <w:qFormat/>
    <w:rsid w:val="00701dc0"/>
    <w:rPr>
      <w:rFonts w:ascii="Cambria" w:hAnsi="Cambria" w:eastAsia="" w:cs="" w:asciiTheme="majorHAnsi" w:cstheme="majorBidi" w:eastAsiaTheme="majorEastAsia" w:hAnsiTheme="majorHAnsi"/>
      <w:color w:val="365F91" w:themeColor="accent1" w:themeShade="bf"/>
      <w:sz w:val="32"/>
      <w:szCs w:val="32"/>
    </w:rPr>
  </w:style>
  <w:style w:type="character" w:styleId="Titre2Car" w:customStyle="1">
    <w:name w:val="Titre 2 Car"/>
    <w:basedOn w:val="DefaultParagraphFont"/>
    <w:link w:val="Titre2"/>
    <w:uiPriority w:val="9"/>
    <w:qFormat/>
    <w:rsid w:val="00d9723f"/>
    <w:rPr>
      <w:rFonts w:ascii="Cambria" w:hAnsi="Cambria" w:eastAsia="" w:cs="" w:asciiTheme="majorHAnsi" w:cstheme="majorBidi" w:eastAsiaTheme="majorEastAsia" w:hAnsiTheme="majorHAnsi"/>
      <w:color w:val="365F91" w:themeColor="accent1" w:themeShade="bf"/>
      <w:sz w:val="26"/>
      <w:szCs w:val="26"/>
    </w:rPr>
  </w:style>
  <w:style w:type="character" w:styleId="PlaceholderText">
    <w:name w:val="Placeholder Text"/>
    <w:basedOn w:val="DefaultParagraphFont"/>
    <w:uiPriority w:val="99"/>
    <w:semiHidden/>
    <w:qFormat/>
    <w:rsid w:val="000328d9"/>
    <w:rPr>
      <w:color w:val="808080"/>
    </w:rPr>
  </w:style>
  <w:style w:type="character" w:styleId="Titre3Car" w:customStyle="1">
    <w:name w:val="Titre 3 Car"/>
    <w:basedOn w:val="DefaultParagraphFont"/>
    <w:link w:val="Titre3"/>
    <w:uiPriority w:val="9"/>
    <w:qFormat/>
    <w:rsid w:val="002a6d70"/>
    <w:rPr>
      <w:rFonts w:ascii="Cambria" w:hAnsi="Cambria" w:eastAsia="" w:cs="" w:asciiTheme="majorHAnsi" w:cstheme="majorBidi" w:eastAsiaTheme="majorEastAsia" w:hAnsiTheme="majorHAnsi"/>
      <w:color w:val="243F60" w:themeColor="accent1" w:themeShade="7f"/>
      <w:sz w:val="24"/>
      <w:szCs w:val="24"/>
    </w:rPr>
  </w:style>
  <w:style w:type="character" w:styleId="ListLabel1">
    <w:name w:val="ListLabel 1"/>
    <w:qFormat/>
    <w:rPr>
      <w:b w:val="false"/>
      <w:i w:val="false"/>
      <w:sz w:val="28"/>
      <w:u w:val="none"/>
    </w:rPr>
  </w:style>
  <w:style w:type="character" w:styleId="ListLabel2">
    <w:name w:val="ListLabel 2"/>
    <w:qFormat/>
    <w:rPr>
      <w:i w:val="false"/>
    </w:rPr>
  </w:style>
  <w:style w:type="character" w:styleId="ListLabel3">
    <w:name w:val="ListLabel 3"/>
    <w:qFormat/>
    <w:rPr>
      <w:b w:val="false"/>
      <w:i w:val="false"/>
      <w:sz w:val="28"/>
      <w:u w:val="none"/>
    </w:rPr>
  </w:style>
  <w:style w:type="character" w:styleId="ListLabel4">
    <w:name w:val="ListLabel 4"/>
    <w:qFormat/>
    <w:rPr>
      <w:i w:val="false"/>
    </w:rPr>
  </w:style>
  <w:style w:type="character" w:styleId="ListLabel5">
    <w:name w:val="ListLabel 5"/>
    <w:qFormat/>
    <w:rPr>
      <w:b w:val="false"/>
      <w:i w:val="false"/>
      <w:sz w:val="28"/>
      <w:u w:val="none"/>
    </w:rPr>
  </w:style>
  <w:style w:type="character" w:styleId="ListLabel6">
    <w:name w:val="ListLabel 6"/>
    <w:qFormat/>
    <w:rPr>
      <w:i w:val="false"/>
    </w:rPr>
  </w:style>
  <w:style w:type="character" w:styleId="ListLabel7">
    <w:name w:val="ListLabel 7"/>
    <w:qFormat/>
    <w:rPr>
      <w:b w:val="false"/>
      <w:i w:val="false"/>
      <w:sz w:val="28"/>
      <w:u w:val="none"/>
    </w:rPr>
  </w:style>
  <w:style w:type="character" w:styleId="ListLabel8">
    <w:name w:val="ListLabel 8"/>
    <w:qFormat/>
    <w:rPr>
      <w:i w:val="false"/>
    </w:rPr>
  </w:style>
  <w:style w:type="character" w:styleId="ListLabel9">
    <w:name w:val="ListLabel 9"/>
    <w:qFormat/>
    <w:rPr>
      <w:color w:val="auto"/>
    </w:rPr>
  </w:style>
  <w:style w:type="character" w:styleId="ListLabel10">
    <w:name w:val="ListLabel 10"/>
    <w:qFormat/>
    <w:rPr>
      <w:rFonts w:cs="Times New Roman"/>
      <w:color w:val="auto"/>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color w:val="auto"/>
    </w:rPr>
  </w:style>
  <w:style w:type="character" w:styleId="ListLabel14">
    <w:name w:val="ListLabel 14"/>
    <w:qFormat/>
    <w:rPr>
      <w:rFonts w:cs="Times New Roman"/>
      <w:color w:val="auto"/>
    </w:rPr>
  </w:style>
  <w:style w:type="character" w:styleId="ListLabel15">
    <w:name w:val="ListLabel 15"/>
    <w:qFormat/>
    <w:rPr>
      <w:rFonts w:cs="Courier New"/>
    </w:rPr>
  </w:style>
  <w:style w:type="character" w:styleId="ListLabel16">
    <w:name w:val="ListLabel 16"/>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urs1" w:customStyle="1">
    <w:name w:val="Cours 1"/>
    <w:basedOn w:val="Normal"/>
    <w:next w:val="Normal"/>
    <w:link w:val="Cours1Car"/>
    <w:qFormat/>
    <w:rsid w:val="00685d22"/>
    <w:pPr>
      <w:spacing w:lineRule="auto" w:line="240"/>
      <w:outlineLvl w:val="0"/>
    </w:pPr>
    <w:rPr>
      <w:rFonts w:ascii="Cambria" w:hAnsi="Cambria" w:eastAsia="Times New Roman" w:cs="Times New Roman"/>
      <w:sz w:val="28"/>
      <w:szCs w:val="20"/>
      <w:u w:val="thick" w:color="FF0000"/>
      <w:lang w:eastAsia="fr-FR"/>
    </w:rPr>
  </w:style>
  <w:style w:type="paragraph" w:styleId="Cours2" w:customStyle="1">
    <w:name w:val="Cours 2"/>
    <w:basedOn w:val="Normal"/>
    <w:next w:val="Normal"/>
    <w:link w:val="Cours2Car"/>
    <w:qFormat/>
    <w:rsid w:val="00685d22"/>
    <w:pPr>
      <w:spacing w:lineRule="auto" w:line="240"/>
      <w:outlineLvl w:val="1"/>
    </w:pPr>
    <w:rPr>
      <w:rFonts w:ascii="Cambria" w:hAnsi="Cambria" w:eastAsia="Times New Roman" w:cs="Times New Roman"/>
      <w:sz w:val="24"/>
      <w:szCs w:val="24"/>
      <w:u w:val="single" w:color="FF0000"/>
      <w:lang w:eastAsia="fr-FR"/>
    </w:rPr>
  </w:style>
  <w:style w:type="paragraph" w:styleId="Cours3" w:customStyle="1">
    <w:name w:val="Cours 3"/>
    <w:basedOn w:val="Normal"/>
    <w:next w:val="Normal"/>
    <w:link w:val="Cours3Car"/>
    <w:qFormat/>
    <w:rsid w:val="00685d22"/>
    <w:pPr>
      <w:spacing w:lineRule="auto" w:line="240" w:before="120" w:after="120"/>
      <w:outlineLvl w:val="2"/>
    </w:pPr>
    <w:rPr>
      <w:rFonts w:ascii="Times New Roman" w:hAnsi="Times New Roman" w:eastAsia="Times New Roman" w:cs="Times New Roman"/>
      <w:sz w:val="24"/>
      <w:szCs w:val="24"/>
      <w:u w:val="dash" w:color="FF0000"/>
      <w:lang w:eastAsia="fr-FR"/>
    </w:rPr>
  </w:style>
  <w:style w:type="paragraph" w:styleId="Cours4" w:customStyle="1">
    <w:name w:val="Cours 4"/>
    <w:basedOn w:val="Cours3"/>
    <w:link w:val="Cours4Car"/>
    <w:autoRedefine/>
    <w:qFormat/>
    <w:rsid w:val="00685d22"/>
    <w:pPr>
      <w:outlineLvl w:val="3"/>
    </w:pPr>
    <w:rPr/>
  </w:style>
  <w:style w:type="paragraph" w:styleId="Coursdtail" w:customStyle="1">
    <w:name w:val="Cours détail"/>
    <w:basedOn w:val="Normal"/>
    <w:link w:val="CoursdtailCar"/>
    <w:qFormat/>
    <w:rsid w:val="00685d22"/>
    <w:pPr>
      <w:spacing w:lineRule="auto" w:line="240" w:before="120" w:after="120"/>
      <w:jc w:val="both"/>
    </w:pPr>
    <w:rPr>
      <w:rFonts w:ascii="Times New Roman" w:hAnsi="Times New Roman" w:eastAsia="Times New Roman" w:cs="Times New Roman"/>
      <w:sz w:val="24"/>
      <w:szCs w:val="24"/>
      <w:lang w:eastAsia="fr-FR"/>
    </w:rPr>
  </w:style>
  <w:style w:type="paragraph" w:styleId="Courssousdtail" w:customStyle="1">
    <w:name w:val="Cours sous détail"/>
    <w:basedOn w:val="Coursdtail"/>
    <w:link w:val="CourssousdtailCar"/>
    <w:qFormat/>
    <w:rsid w:val="00685d22"/>
    <w:pPr/>
    <w:rPr/>
  </w:style>
  <w:style w:type="paragraph" w:styleId="CoursTitre" w:customStyle="1">
    <w:name w:val="Cours Titre"/>
    <w:basedOn w:val="Normal"/>
    <w:link w:val="CoursTitreCar"/>
    <w:qFormat/>
    <w:rsid w:val="00685d22"/>
    <w:pPr>
      <w:spacing w:lineRule="auto" w:line="240" w:before="0" w:after="0"/>
      <w:jc w:val="center"/>
      <w:outlineLvl w:val="0"/>
    </w:pPr>
    <w:rPr>
      <w:rFonts w:ascii="Cambria" w:hAnsi="Cambria" w:eastAsia="Times New Roman" w:cs="Times New Roman"/>
      <w:b/>
      <w:sz w:val="32"/>
      <w:szCs w:val="20"/>
      <w:u w:val="double" w:color="FF0000"/>
      <w:lang w:eastAsia="fr-F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TableauGrille1Clair">
    <w:name w:val="Grid Table 1 Light"/>
    <w:basedOn w:val="TableauNormal"/>
    <w:uiPriority w:val="46"/>
    <w:rsid w:val="00701dc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TableauListe6Couleur-Accentuation1">
    <w:name w:val="List Table 6 Colorful Accent 1"/>
    <w:basedOn w:val="TableauNormal"/>
    <w:uiPriority w:val="51"/>
    <w:rsid w:val="00701dc0"/>
    <w:pPr>
      <w:spacing w:after="0" w:line="240" w:lineRule="auto"/>
    </w:pPr>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chart" Target="charts/chart1.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sz="1800" spc="-1" strike="noStrike">
                <a:solidFill>
                  <a:srgbClr val="000000"/>
                </a:solidFill>
                <a:latin typeface="Calibri"/>
              </a:defRPr>
            </a:pPr>
            <a:r>
              <a:rPr b="1" sz="1800" spc="-1" strike="noStrike">
                <a:solidFill>
                  <a:srgbClr val="000000"/>
                </a:solidFill>
                <a:latin typeface="Calibri"/>
              </a:rPr>
              <a:t>Refroidissement d'un corps</a:t>
            </a:r>
          </a:p>
        </c:rich>
      </c:tx>
      <c:overlay val="0"/>
    </c:title>
    <c:autoTitleDeleted val="0"/>
    <c:plotArea>
      <c:scatterChart>
        <c:scatterStyle val="lineMarker"/>
        <c:varyColors val="0"/>
        <c:ser>
          <c:idx val="0"/>
          <c:order val="0"/>
          <c:tx>
            <c:strRef>
              <c:f>label 0</c:f>
              <c:strCache>
                <c:ptCount val="1"/>
                <c:pt idx="0">
                  <c:v>Valeurs expérimentales</c:v>
                </c:pt>
              </c:strCache>
            </c:strRef>
          </c:tx>
          <c:spPr>
            <a:solidFill>
              <a:srgbClr val="99ccff"/>
            </a:solidFill>
            <a:ln w="28440">
              <a:noFill/>
            </a:ln>
          </c:spPr>
          <c:marker>
            <c:symbol val="diamond"/>
            <c:size val="4"/>
            <c:spPr>
              <a:solidFill>
                <a:srgbClr val="99ccff"/>
              </a:solidFill>
            </c:spPr>
          </c:marker>
          <c:dLbls>
            <c:numFmt formatCode="0.000" sourceLinked="1"/>
            <c:dLblPos val="r"/>
            <c:showLegendKey val="0"/>
            <c:showVal val="0"/>
            <c:showCatName val="0"/>
            <c:showSerName val="0"/>
            <c:showPercent val="0"/>
            <c:showLeaderLines val="0"/>
          </c:dLbls>
          <c:xVal>
            <c:numRef>
              <c:f>1</c:f>
              <c:numCache>
                <c:formatCode>General</c:formatCode>
                <c:ptCount val="180"/>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numCache>
            </c:numRef>
          </c:xVal>
          <c:yVal>
            <c:numRef>
              <c:f>0</c:f>
              <c:numCache>
                <c:formatCode>General</c:formatCode>
                <c:ptCount val="180"/>
                <c:pt idx="0">
                  <c:v>73.333</c:v>
                </c:pt>
                <c:pt idx="1">
                  <c:v>83.922</c:v>
                </c:pt>
                <c:pt idx="2">
                  <c:v>84.314</c:v>
                </c:pt>
                <c:pt idx="3">
                  <c:v>81.961</c:v>
                </c:pt>
                <c:pt idx="4">
                  <c:v>81.176</c:v>
                </c:pt>
                <c:pt idx="5">
                  <c:v>80.392</c:v>
                </c:pt>
                <c:pt idx="6">
                  <c:v>76.471</c:v>
                </c:pt>
                <c:pt idx="7">
                  <c:v>71.765</c:v>
                </c:pt>
                <c:pt idx="8">
                  <c:v>68.235</c:v>
                </c:pt>
                <c:pt idx="9">
                  <c:v>64.706</c:v>
                </c:pt>
                <c:pt idx="10">
                  <c:v>61.961</c:v>
                </c:pt>
                <c:pt idx="11">
                  <c:v>59.216</c:v>
                </c:pt>
                <c:pt idx="12">
                  <c:v>56.863</c:v>
                </c:pt>
                <c:pt idx="13">
                  <c:v>54.51</c:v>
                </c:pt>
                <c:pt idx="14">
                  <c:v>52.549</c:v>
                </c:pt>
                <c:pt idx="15">
                  <c:v>50.98</c:v>
                </c:pt>
                <c:pt idx="16">
                  <c:v>49.02</c:v>
                </c:pt>
                <c:pt idx="17">
                  <c:v>47.451</c:v>
                </c:pt>
                <c:pt idx="18">
                  <c:v>46.275</c:v>
                </c:pt>
                <c:pt idx="19">
                  <c:v>44.706</c:v>
                </c:pt>
                <c:pt idx="20">
                  <c:v>43.137</c:v>
                </c:pt>
                <c:pt idx="21">
                  <c:v>41.961</c:v>
                </c:pt>
                <c:pt idx="22">
                  <c:v>40.784</c:v>
                </c:pt>
                <c:pt idx="23">
                  <c:v>39.216</c:v>
                </c:pt>
                <c:pt idx="24">
                  <c:v>38.431</c:v>
                </c:pt>
                <c:pt idx="25">
                  <c:v>37.255</c:v>
                </c:pt>
                <c:pt idx="26">
                  <c:v>36.078</c:v>
                </c:pt>
                <c:pt idx="27">
                  <c:v>35.294</c:v>
                </c:pt>
                <c:pt idx="28">
                  <c:v>34.51</c:v>
                </c:pt>
                <c:pt idx="29">
                  <c:v>33.725</c:v>
                </c:pt>
                <c:pt idx="30">
                  <c:v>32.941</c:v>
                </c:pt>
                <c:pt idx="31">
                  <c:v>31.765</c:v>
                </c:pt>
                <c:pt idx="32">
                  <c:v>31.373</c:v>
                </c:pt>
                <c:pt idx="33">
                  <c:v>30.588</c:v>
                </c:pt>
                <c:pt idx="34">
                  <c:v>29.804</c:v>
                </c:pt>
                <c:pt idx="35">
                  <c:v>29.412</c:v>
                </c:pt>
                <c:pt idx="36">
                  <c:v>29.02</c:v>
                </c:pt>
                <c:pt idx="37">
                  <c:v>28.235</c:v>
                </c:pt>
                <c:pt idx="38">
                  <c:v>27.451</c:v>
                </c:pt>
                <c:pt idx="39">
                  <c:v>27.059</c:v>
                </c:pt>
                <c:pt idx="40">
                  <c:v>26.275</c:v>
                </c:pt>
                <c:pt idx="41">
                  <c:v>25.882</c:v>
                </c:pt>
                <c:pt idx="42">
                  <c:v>25.49</c:v>
                </c:pt>
                <c:pt idx="43">
                  <c:v>25.098</c:v>
                </c:pt>
                <c:pt idx="44">
                  <c:v>24.706</c:v>
                </c:pt>
                <c:pt idx="45">
                  <c:v>24.314</c:v>
                </c:pt>
                <c:pt idx="46">
                  <c:v>23.922</c:v>
                </c:pt>
                <c:pt idx="47">
                  <c:v>23.529</c:v>
                </c:pt>
                <c:pt idx="48">
                  <c:v>23.137</c:v>
                </c:pt>
                <c:pt idx="49">
                  <c:v>22.745</c:v>
                </c:pt>
                <c:pt idx="50">
                  <c:v>22.745</c:v>
                </c:pt>
                <c:pt idx="51">
                  <c:v>21.961</c:v>
                </c:pt>
                <c:pt idx="52">
                  <c:v>21.961</c:v>
                </c:pt>
                <c:pt idx="53">
                  <c:v>21.176</c:v>
                </c:pt>
                <c:pt idx="54">
                  <c:v>21.176</c:v>
                </c:pt>
                <c:pt idx="55">
                  <c:v>20.784</c:v>
                </c:pt>
                <c:pt idx="56">
                  <c:v>20.392</c:v>
                </c:pt>
                <c:pt idx="57">
                  <c:v>20.392</c:v>
                </c:pt>
                <c:pt idx="58">
                  <c:v>20</c:v>
                </c:pt>
                <c:pt idx="59">
                  <c:v>20</c:v>
                </c:pt>
                <c:pt idx="60">
                  <c:v>19.608</c:v>
                </c:pt>
                <c:pt idx="61">
                  <c:v>19.216</c:v>
                </c:pt>
                <c:pt idx="62">
                  <c:v>19.216</c:v>
                </c:pt>
                <c:pt idx="63">
                  <c:v>18.824</c:v>
                </c:pt>
                <c:pt idx="64">
                  <c:v>18.824</c:v>
                </c:pt>
                <c:pt idx="65">
                  <c:v>18.431</c:v>
                </c:pt>
                <c:pt idx="66">
                  <c:v>18.431</c:v>
                </c:pt>
                <c:pt idx="67">
                  <c:v>18.039</c:v>
                </c:pt>
                <c:pt idx="68">
                  <c:v>17.647</c:v>
                </c:pt>
                <c:pt idx="69">
                  <c:v>17.255</c:v>
                </c:pt>
                <c:pt idx="70">
                  <c:v>17.255</c:v>
                </c:pt>
                <c:pt idx="71">
                  <c:v>17.255</c:v>
                </c:pt>
                <c:pt idx="72">
                  <c:v>17.255</c:v>
                </c:pt>
                <c:pt idx="73">
                  <c:v>17.255</c:v>
                </c:pt>
                <c:pt idx="74">
                  <c:v>16.863</c:v>
                </c:pt>
                <c:pt idx="75">
                  <c:v>16.471</c:v>
                </c:pt>
                <c:pt idx="76">
                  <c:v>16.471</c:v>
                </c:pt>
                <c:pt idx="77">
                  <c:v>16.078</c:v>
                </c:pt>
                <c:pt idx="78">
                  <c:v>16.078</c:v>
                </c:pt>
                <c:pt idx="79">
                  <c:v>16.078</c:v>
                </c:pt>
                <c:pt idx="80">
                  <c:v>15.686</c:v>
                </c:pt>
                <c:pt idx="81">
                  <c:v>15.686</c:v>
                </c:pt>
                <c:pt idx="82">
                  <c:v>15.294</c:v>
                </c:pt>
                <c:pt idx="83">
                  <c:v>15.294</c:v>
                </c:pt>
                <c:pt idx="84">
                  <c:v>15.294</c:v>
                </c:pt>
                <c:pt idx="85">
                  <c:v>14.902</c:v>
                </c:pt>
                <c:pt idx="86">
                  <c:v>14.902</c:v>
                </c:pt>
                <c:pt idx="87">
                  <c:v>14.902</c:v>
                </c:pt>
                <c:pt idx="88">
                  <c:v>14.51</c:v>
                </c:pt>
                <c:pt idx="89">
                  <c:v>14.51</c:v>
                </c:pt>
                <c:pt idx="90">
                  <c:v>14.118</c:v>
                </c:pt>
                <c:pt idx="91">
                  <c:v>14.118</c:v>
                </c:pt>
                <c:pt idx="92">
                  <c:v>14.118</c:v>
                </c:pt>
                <c:pt idx="93">
                  <c:v>14.118</c:v>
                </c:pt>
                <c:pt idx="94">
                  <c:v>14.118</c:v>
                </c:pt>
                <c:pt idx="95">
                  <c:v>14.118</c:v>
                </c:pt>
                <c:pt idx="96">
                  <c:v>13.725</c:v>
                </c:pt>
                <c:pt idx="97">
                  <c:v>13.725</c:v>
                </c:pt>
                <c:pt idx="98">
                  <c:v>13.725</c:v>
                </c:pt>
                <c:pt idx="99">
                  <c:v>13.725</c:v>
                </c:pt>
                <c:pt idx="100">
                  <c:v>13.333</c:v>
                </c:pt>
                <c:pt idx="101">
                  <c:v>13.333</c:v>
                </c:pt>
                <c:pt idx="102">
                  <c:v>13.333</c:v>
                </c:pt>
                <c:pt idx="103">
                  <c:v>12.941</c:v>
                </c:pt>
                <c:pt idx="104">
                  <c:v>13.333</c:v>
                </c:pt>
                <c:pt idx="105">
                  <c:v>12.941</c:v>
                </c:pt>
                <c:pt idx="106">
                  <c:v>12.941</c:v>
                </c:pt>
                <c:pt idx="107">
                  <c:v>12.941</c:v>
                </c:pt>
                <c:pt idx="108">
                  <c:v>12.941</c:v>
                </c:pt>
                <c:pt idx="109">
                  <c:v>12.941</c:v>
                </c:pt>
                <c:pt idx="110">
                  <c:v>12.941</c:v>
                </c:pt>
                <c:pt idx="111">
                  <c:v>12.549</c:v>
                </c:pt>
                <c:pt idx="112">
                  <c:v>12.549</c:v>
                </c:pt>
                <c:pt idx="113">
                  <c:v>12.549</c:v>
                </c:pt>
                <c:pt idx="114">
                  <c:v>12.549</c:v>
                </c:pt>
                <c:pt idx="115">
                  <c:v>12.549</c:v>
                </c:pt>
                <c:pt idx="116">
                  <c:v>12.157</c:v>
                </c:pt>
                <c:pt idx="117">
                  <c:v>12.157</c:v>
                </c:pt>
                <c:pt idx="118">
                  <c:v>12.157</c:v>
                </c:pt>
                <c:pt idx="119">
                  <c:v>12.157</c:v>
                </c:pt>
                <c:pt idx="120">
                  <c:v>12.157</c:v>
                </c:pt>
                <c:pt idx="121">
                  <c:v>12.157</c:v>
                </c:pt>
                <c:pt idx="122">
                  <c:v>12.157</c:v>
                </c:pt>
                <c:pt idx="123">
                  <c:v>12.157</c:v>
                </c:pt>
                <c:pt idx="124">
                  <c:v>11.765</c:v>
                </c:pt>
                <c:pt idx="125">
                  <c:v>11.765</c:v>
                </c:pt>
                <c:pt idx="126">
                  <c:v>11.765</c:v>
                </c:pt>
                <c:pt idx="127">
                  <c:v>11.765</c:v>
                </c:pt>
                <c:pt idx="128">
                  <c:v>11.373</c:v>
                </c:pt>
                <c:pt idx="129">
                  <c:v>11.373</c:v>
                </c:pt>
                <c:pt idx="130">
                  <c:v>11.765</c:v>
                </c:pt>
                <c:pt idx="131">
                  <c:v>11.765</c:v>
                </c:pt>
                <c:pt idx="132">
                  <c:v>11.373</c:v>
                </c:pt>
                <c:pt idx="133">
                  <c:v>11.765</c:v>
                </c:pt>
                <c:pt idx="134">
                  <c:v>11.373</c:v>
                </c:pt>
                <c:pt idx="135">
                  <c:v>10.98</c:v>
                </c:pt>
                <c:pt idx="136">
                  <c:v>11.373</c:v>
                </c:pt>
                <c:pt idx="137">
                  <c:v>11.373</c:v>
                </c:pt>
                <c:pt idx="138">
                  <c:v>10.98</c:v>
                </c:pt>
                <c:pt idx="139">
                  <c:v>10.98</c:v>
                </c:pt>
                <c:pt idx="140">
                  <c:v>11.373</c:v>
                </c:pt>
                <c:pt idx="141">
                  <c:v>11.373</c:v>
                </c:pt>
                <c:pt idx="142">
                  <c:v>10.98</c:v>
                </c:pt>
                <c:pt idx="143">
                  <c:v>10.98</c:v>
                </c:pt>
                <c:pt idx="144">
                  <c:v>10.98</c:v>
                </c:pt>
                <c:pt idx="145">
                  <c:v>10.98</c:v>
                </c:pt>
                <c:pt idx="146">
                  <c:v>10.98</c:v>
                </c:pt>
                <c:pt idx="147">
                  <c:v>10.98</c:v>
                </c:pt>
                <c:pt idx="148">
                  <c:v>10.98</c:v>
                </c:pt>
                <c:pt idx="149">
                  <c:v>10.98</c:v>
                </c:pt>
                <c:pt idx="150">
                  <c:v>10.588</c:v>
                </c:pt>
                <c:pt idx="151">
                  <c:v>10.98</c:v>
                </c:pt>
                <c:pt idx="152">
                  <c:v>10.588</c:v>
                </c:pt>
                <c:pt idx="153">
                  <c:v>10.588</c:v>
                </c:pt>
                <c:pt idx="154">
                  <c:v>10.588</c:v>
                </c:pt>
                <c:pt idx="155">
                  <c:v>10.98</c:v>
                </c:pt>
                <c:pt idx="156">
                  <c:v>10.588</c:v>
                </c:pt>
                <c:pt idx="157">
                  <c:v>10.588</c:v>
                </c:pt>
                <c:pt idx="158">
                  <c:v>10.588</c:v>
                </c:pt>
                <c:pt idx="159">
                  <c:v>10.588</c:v>
                </c:pt>
                <c:pt idx="160">
                  <c:v>10.588</c:v>
                </c:pt>
                <c:pt idx="161">
                  <c:v>10.588</c:v>
                </c:pt>
                <c:pt idx="162">
                  <c:v>10.588</c:v>
                </c:pt>
                <c:pt idx="163">
                  <c:v>10.588</c:v>
                </c:pt>
                <c:pt idx="164">
                  <c:v>10.588</c:v>
                </c:pt>
                <c:pt idx="165">
                  <c:v>10.588</c:v>
                </c:pt>
                <c:pt idx="166">
                  <c:v>10.588</c:v>
                </c:pt>
                <c:pt idx="167">
                  <c:v>10.588</c:v>
                </c:pt>
                <c:pt idx="168">
                  <c:v>10.588</c:v>
                </c:pt>
                <c:pt idx="169">
                  <c:v>10.588</c:v>
                </c:pt>
                <c:pt idx="170">
                  <c:v>10.196</c:v>
                </c:pt>
                <c:pt idx="171">
                  <c:v>10.588</c:v>
                </c:pt>
                <c:pt idx="172">
                  <c:v>10.588</c:v>
                </c:pt>
                <c:pt idx="173">
                  <c:v>10.588</c:v>
                </c:pt>
                <c:pt idx="174">
                  <c:v>10.588</c:v>
                </c:pt>
                <c:pt idx="175">
                  <c:v>10.588</c:v>
                </c:pt>
                <c:pt idx="176">
                  <c:v>10.196</c:v>
                </c:pt>
                <c:pt idx="177">
                  <c:v>10.196</c:v>
                </c:pt>
                <c:pt idx="178">
                  <c:v>10.588</c:v>
                </c:pt>
                <c:pt idx="179">
                  <c:v>10.196</c:v>
                </c:pt>
              </c:numCache>
            </c:numRef>
          </c:yVal>
          <c:smooth val="0"/>
        </c:ser>
        <c:ser>
          <c:idx val="1"/>
          <c:order val="1"/>
          <c:tx>
            <c:strRef>
              <c:f>label 2</c:f>
              <c:strCache>
                <c:ptCount val="1"/>
                <c:pt idx="0">
                  <c:v>Valeurs théoriques</c:v>
                </c:pt>
              </c:strCache>
            </c:strRef>
          </c:tx>
          <c:spPr>
            <a:solidFill>
              <a:srgbClr val="ff0000"/>
            </a:solidFill>
            <a:ln w="6480">
              <a:solidFill>
                <a:srgbClr val="ff0000"/>
              </a:solidFill>
              <a:round/>
            </a:ln>
          </c:spPr>
          <c:marker>
            <c:symbol val="x"/>
            <c:size val="2"/>
            <c:spPr>
              <a:solidFill>
                <a:srgbClr val="ff0000"/>
              </a:solidFill>
            </c:spPr>
          </c:marker>
          <c:dLbls>
            <c:numFmt formatCode="0.000" sourceLinked="1"/>
            <c:dLblPos val="r"/>
            <c:showLegendKey val="0"/>
            <c:showVal val="0"/>
            <c:showCatName val="0"/>
            <c:showSerName val="0"/>
            <c:showPercent val="0"/>
            <c:showLeaderLines val="0"/>
          </c:dLbls>
          <c:xVal>
            <c:numRef>
              <c:f>3</c:f>
              <c:numCache>
                <c:formatCode>General</c:formatCode>
                <c:ptCount val="180"/>
                <c:pt idx="0">
                  <c:v>0</c:v>
                </c:pt>
                <c:pt idx="1">
                  <c:v>10</c:v>
                </c:pt>
                <c:pt idx="2">
                  <c:v>20</c:v>
                </c:pt>
                <c:pt idx="3">
                  <c:v>30</c:v>
                </c:pt>
                <c:pt idx="4">
                  <c:v>40</c:v>
                </c:pt>
                <c:pt idx="5">
                  <c:v>50</c:v>
                </c:pt>
                <c:pt idx="6">
                  <c:v>60</c:v>
                </c:pt>
                <c:pt idx="7">
                  <c:v>70</c:v>
                </c:pt>
                <c:pt idx="8">
                  <c:v>80</c:v>
                </c:pt>
                <c:pt idx="9">
                  <c:v>90</c:v>
                </c:pt>
                <c:pt idx="10">
                  <c:v>100</c:v>
                </c:pt>
                <c:pt idx="11">
                  <c:v>110</c:v>
                </c:pt>
                <c:pt idx="12">
                  <c:v>120</c:v>
                </c:pt>
                <c:pt idx="13">
                  <c:v>130</c:v>
                </c:pt>
                <c:pt idx="14">
                  <c:v>140</c:v>
                </c:pt>
                <c:pt idx="15">
                  <c:v>150</c:v>
                </c:pt>
                <c:pt idx="16">
                  <c:v>160</c:v>
                </c:pt>
                <c:pt idx="17">
                  <c:v>170</c:v>
                </c:pt>
                <c:pt idx="18">
                  <c:v>180</c:v>
                </c:pt>
                <c:pt idx="19">
                  <c:v>190</c:v>
                </c:pt>
                <c:pt idx="20">
                  <c:v>200</c:v>
                </c:pt>
                <c:pt idx="21">
                  <c:v>210</c:v>
                </c:pt>
                <c:pt idx="22">
                  <c:v>220</c:v>
                </c:pt>
                <c:pt idx="23">
                  <c:v>230</c:v>
                </c:pt>
                <c:pt idx="24">
                  <c:v>240</c:v>
                </c:pt>
                <c:pt idx="25">
                  <c:v>250</c:v>
                </c:pt>
                <c:pt idx="26">
                  <c:v>260</c:v>
                </c:pt>
                <c:pt idx="27">
                  <c:v>270</c:v>
                </c:pt>
                <c:pt idx="28">
                  <c:v>280</c:v>
                </c:pt>
                <c:pt idx="29">
                  <c:v>290</c:v>
                </c:pt>
                <c:pt idx="30">
                  <c:v>300</c:v>
                </c:pt>
                <c:pt idx="31">
                  <c:v>310</c:v>
                </c:pt>
                <c:pt idx="32">
                  <c:v>320</c:v>
                </c:pt>
                <c:pt idx="33">
                  <c:v>330</c:v>
                </c:pt>
                <c:pt idx="34">
                  <c:v>340</c:v>
                </c:pt>
                <c:pt idx="35">
                  <c:v>350</c:v>
                </c:pt>
                <c:pt idx="36">
                  <c:v>360</c:v>
                </c:pt>
                <c:pt idx="37">
                  <c:v>370</c:v>
                </c:pt>
                <c:pt idx="38">
                  <c:v>380</c:v>
                </c:pt>
                <c:pt idx="39">
                  <c:v>390</c:v>
                </c:pt>
                <c:pt idx="40">
                  <c:v>400</c:v>
                </c:pt>
                <c:pt idx="41">
                  <c:v>410</c:v>
                </c:pt>
                <c:pt idx="42">
                  <c:v>420</c:v>
                </c:pt>
                <c:pt idx="43">
                  <c:v>430</c:v>
                </c:pt>
                <c:pt idx="44">
                  <c:v>440</c:v>
                </c:pt>
                <c:pt idx="45">
                  <c:v>450</c:v>
                </c:pt>
                <c:pt idx="46">
                  <c:v>460</c:v>
                </c:pt>
                <c:pt idx="47">
                  <c:v>470</c:v>
                </c:pt>
                <c:pt idx="48">
                  <c:v>480</c:v>
                </c:pt>
                <c:pt idx="49">
                  <c:v>490</c:v>
                </c:pt>
                <c:pt idx="50">
                  <c:v>500</c:v>
                </c:pt>
                <c:pt idx="51">
                  <c:v>510</c:v>
                </c:pt>
                <c:pt idx="52">
                  <c:v>520</c:v>
                </c:pt>
                <c:pt idx="53">
                  <c:v>530</c:v>
                </c:pt>
                <c:pt idx="54">
                  <c:v>540</c:v>
                </c:pt>
                <c:pt idx="55">
                  <c:v>550</c:v>
                </c:pt>
                <c:pt idx="56">
                  <c:v>560</c:v>
                </c:pt>
                <c:pt idx="57">
                  <c:v>570</c:v>
                </c:pt>
                <c:pt idx="58">
                  <c:v>580</c:v>
                </c:pt>
                <c:pt idx="59">
                  <c:v>590</c:v>
                </c:pt>
                <c:pt idx="60">
                  <c:v>600</c:v>
                </c:pt>
                <c:pt idx="61">
                  <c:v>610</c:v>
                </c:pt>
                <c:pt idx="62">
                  <c:v>620</c:v>
                </c:pt>
                <c:pt idx="63">
                  <c:v>630</c:v>
                </c:pt>
                <c:pt idx="64">
                  <c:v>640</c:v>
                </c:pt>
                <c:pt idx="65">
                  <c:v>650</c:v>
                </c:pt>
                <c:pt idx="66">
                  <c:v>660</c:v>
                </c:pt>
                <c:pt idx="67">
                  <c:v>670</c:v>
                </c:pt>
                <c:pt idx="68">
                  <c:v>680</c:v>
                </c:pt>
                <c:pt idx="69">
                  <c:v>690</c:v>
                </c:pt>
                <c:pt idx="70">
                  <c:v>700</c:v>
                </c:pt>
                <c:pt idx="71">
                  <c:v>710</c:v>
                </c:pt>
                <c:pt idx="72">
                  <c:v>720</c:v>
                </c:pt>
                <c:pt idx="73">
                  <c:v>730</c:v>
                </c:pt>
                <c:pt idx="74">
                  <c:v>740</c:v>
                </c:pt>
                <c:pt idx="75">
                  <c:v>750</c:v>
                </c:pt>
                <c:pt idx="76">
                  <c:v>760</c:v>
                </c:pt>
                <c:pt idx="77">
                  <c:v>770</c:v>
                </c:pt>
                <c:pt idx="78">
                  <c:v>780</c:v>
                </c:pt>
                <c:pt idx="79">
                  <c:v>790</c:v>
                </c:pt>
                <c:pt idx="80">
                  <c:v>800</c:v>
                </c:pt>
                <c:pt idx="81">
                  <c:v>810</c:v>
                </c:pt>
                <c:pt idx="82">
                  <c:v>820</c:v>
                </c:pt>
                <c:pt idx="83">
                  <c:v>830</c:v>
                </c:pt>
                <c:pt idx="84">
                  <c:v>840</c:v>
                </c:pt>
                <c:pt idx="85">
                  <c:v>850</c:v>
                </c:pt>
                <c:pt idx="86">
                  <c:v>860</c:v>
                </c:pt>
                <c:pt idx="87">
                  <c:v>870</c:v>
                </c:pt>
                <c:pt idx="88">
                  <c:v>880</c:v>
                </c:pt>
                <c:pt idx="89">
                  <c:v>890</c:v>
                </c:pt>
                <c:pt idx="90">
                  <c:v>900</c:v>
                </c:pt>
                <c:pt idx="91">
                  <c:v>910</c:v>
                </c:pt>
                <c:pt idx="92">
                  <c:v>920</c:v>
                </c:pt>
                <c:pt idx="93">
                  <c:v>930</c:v>
                </c:pt>
                <c:pt idx="94">
                  <c:v>940</c:v>
                </c:pt>
                <c:pt idx="95">
                  <c:v>950</c:v>
                </c:pt>
                <c:pt idx="96">
                  <c:v>960</c:v>
                </c:pt>
                <c:pt idx="97">
                  <c:v>970</c:v>
                </c:pt>
                <c:pt idx="98">
                  <c:v>980</c:v>
                </c:pt>
                <c:pt idx="99">
                  <c:v>990</c:v>
                </c:pt>
                <c:pt idx="100">
                  <c:v>1000</c:v>
                </c:pt>
                <c:pt idx="101">
                  <c:v>1010</c:v>
                </c:pt>
                <c:pt idx="102">
                  <c:v>1020</c:v>
                </c:pt>
                <c:pt idx="103">
                  <c:v>1030</c:v>
                </c:pt>
                <c:pt idx="104">
                  <c:v>1040</c:v>
                </c:pt>
                <c:pt idx="105">
                  <c:v>1050</c:v>
                </c:pt>
                <c:pt idx="106">
                  <c:v>1060</c:v>
                </c:pt>
                <c:pt idx="107">
                  <c:v>1070</c:v>
                </c:pt>
                <c:pt idx="108">
                  <c:v>1080</c:v>
                </c:pt>
                <c:pt idx="109">
                  <c:v>1090</c:v>
                </c:pt>
                <c:pt idx="110">
                  <c:v>1100</c:v>
                </c:pt>
                <c:pt idx="111">
                  <c:v>1110</c:v>
                </c:pt>
                <c:pt idx="112">
                  <c:v>1120</c:v>
                </c:pt>
                <c:pt idx="113">
                  <c:v>1130</c:v>
                </c:pt>
                <c:pt idx="114">
                  <c:v>1140</c:v>
                </c:pt>
                <c:pt idx="115">
                  <c:v>1150</c:v>
                </c:pt>
                <c:pt idx="116">
                  <c:v>1160</c:v>
                </c:pt>
                <c:pt idx="117">
                  <c:v>1170</c:v>
                </c:pt>
                <c:pt idx="118">
                  <c:v>1180</c:v>
                </c:pt>
                <c:pt idx="119">
                  <c:v>1190</c:v>
                </c:pt>
                <c:pt idx="120">
                  <c:v>1200</c:v>
                </c:pt>
                <c:pt idx="121">
                  <c:v>1210</c:v>
                </c:pt>
                <c:pt idx="122">
                  <c:v>1220</c:v>
                </c:pt>
                <c:pt idx="123">
                  <c:v>1230</c:v>
                </c:pt>
                <c:pt idx="124">
                  <c:v>1240</c:v>
                </c:pt>
                <c:pt idx="125">
                  <c:v>1250</c:v>
                </c:pt>
                <c:pt idx="126">
                  <c:v>1260</c:v>
                </c:pt>
                <c:pt idx="127">
                  <c:v>1270</c:v>
                </c:pt>
                <c:pt idx="128">
                  <c:v>1280</c:v>
                </c:pt>
                <c:pt idx="129">
                  <c:v>1290</c:v>
                </c:pt>
                <c:pt idx="130">
                  <c:v>1300</c:v>
                </c:pt>
                <c:pt idx="131">
                  <c:v>1310</c:v>
                </c:pt>
                <c:pt idx="132">
                  <c:v>1320</c:v>
                </c:pt>
                <c:pt idx="133">
                  <c:v>1330</c:v>
                </c:pt>
                <c:pt idx="134">
                  <c:v>1340</c:v>
                </c:pt>
                <c:pt idx="135">
                  <c:v>1350</c:v>
                </c:pt>
                <c:pt idx="136">
                  <c:v>1360</c:v>
                </c:pt>
                <c:pt idx="137">
                  <c:v>1370</c:v>
                </c:pt>
                <c:pt idx="138">
                  <c:v>1380</c:v>
                </c:pt>
                <c:pt idx="139">
                  <c:v>1390</c:v>
                </c:pt>
                <c:pt idx="140">
                  <c:v>1400</c:v>
                </c:pt>
                <c:pt idx="141">
                  <c:v>1410</c:v>
                </c:pt>
                <c:pt idx="142">
                  <c:v>1420</c:v>
                </c:pt>
                <c:pt idx="143">
                  <c:v>1430</c:v>
                </c:pt>
                <c:pt idx="144">
                  <c:v>1440</c:v>
                </c:pt>
                <c:pt idx="145">
                  <c:v>1450</c:v>
                </c:pt>
                <c:pt idx="146">
                  <c:v>1460</c:v>
                </c:pt>
                <c:pt idx="147">
                  <c:v>1470</c:v>
                </c:pt>
                <c:pt idx="148">
                  <c:v>1480</c:v>
                </c:pt>
                <c:pt idx="149">
                  <c:v>1490</c:v>
                </c:pt>
                <c:pt idx="150">
                  <c:v>1500</c:v>
                </c:pt>
                <c:pt idx="151">
                  <c:v>1510</c:v>
                </c:pt>
                <c:pt idx="152">
                  <c:v>1520</c:v>
                </c:pt>
                <c:pt idx="153">
                  <c:v>1530</c:v>
                </c:pt>
                <c:pt idx="154">
                  <c:v>1540</c:v>
                </c:pt>
                <c:pt idx="155">
                  <c:v>1550</c:v>
                </c:pt>
                <c:pt idx="156">
                  <c:v>1560</c:v>
                </c:pt>
                <c:pt idx="157">
                  <c:v>1570</c:v>
                </c:pt>
                <c:pt idx="158">
                  <c:v>1580</c:v>
                </c:pt>
                <c:pt idx="159">
                  <c:v>1590</c:v>
                </c:pt>
                <c:pt idx="160">
                  <c:v>1600</c:v>
                </c:pt>
                <c:pt idx="161">
                  <c:v>1610</c:v>
                </c:pt>
                <c:pt idx="162">
                  <c:v>1620</c:v>
                </c:pt>
                <c:pt idx="163">
                  <c:v>1630</c:v>
                </c:pt>
                <c:pt idx="164">
                  <c:v>1640</c:v>
                </c:pt>
                <c:pt idx="165">
                  <c:v>1650</c:v>
                </c:pt>
                <c:pt idx="166">
                  <c:v>1660</c:v>
                </c:pt>
                <c:pt idx="167">
                  <c:v>1670</c:v>
                </c:pt>
                <c:pt idx="168">
                  <c:v>1680</c:v>
                </c:pt>
                <c:pt idx="169">
                  <c:v>1690</c:v>
                </c:pt>
                <c:pt idx="170">
                  <c:v>1700</c:v>
                </c:pt>
                <c:pt idx="171">
                  <c:v>1710</c:v>
                </c:pt>
                <c:pt idx="172">
                  <c:v>1720</c:v>
                </c:pt>
                <c:pt idx="173">
                  <c:v>1730</c:v>
                </c:pt>
                <c:pt idx="174">
                  <c:v>1740</c:v>
                </c:pt>
                <c:pt idx="175">
                  <c:v>1750</c:v>
                </c:pt>
                <c:pt idx="176">
                  <c:v>1760</c:v>
                </c:pt>
                <c:pt idx="177">
                  <c:v>1770</c:v>
                </c:pt>
                <c:pt idx="178">
                  <c:v>1780</c:v>
                </c:pt>
                <c:pt idx="179">
                  <c:v>1790</c:v>
                </c:pt>
              </c:numCache>
            </c:numRef>
          </c:xVal>
          <c:yVal>
            <c:numRef>
              <c:f>2</c:f>
              <c:numCache>
                <c:formatCode>General</c:formatCode>
                <c:ptCount val="180"/>
                <c:pt idx="0">
                  <c:v>86.582739460779</c:v>
                </c:pt>
                <c:pt idx="1">
                  <c:v>83.6468127537314</c:v>
                </c:pt>
                <c:pt idx="2">
                  <c:v>80.8256039090008</c:v>
                </c:pt>
                <c:pt idx="3">
                  <c:v>78.1146304618502</c:v>
                </c:pt>
                <c:pt idx="4">
                  <c:v>75.5095850945488</c:v>
                </c:pt>
                <c:pt idx="5">
                  <c:v>73.0063287927094</c:v>
                </c:pt>
                <c:pt idx="6">
                  <c:v>70.6008842690351</c:v>
                </c:pt>
                <c:pt idx="7">
                  <c:v>68.2894296440239</c:v>
                </c:pt>
                <c:pt idx="8">
                  <c:v>66.0682923735937</c:v>
                </c:pt>
                <c:pt idx="9">
                  <c:v>63.9339434139768</c:v>
                </c:pt>
                <c:pt idx="10">
                  <c:v>61.8829916146153</c:v>
                </c:pt>
                <c:pt idx="11">
                  <c:v>59.912178330147</c:v>
                </c:pt>
                <c:pt idx="12">
                  <c:v>58.0183722429215</c:v>
                </c:pt>
                <c:pt idx="13">
                  <c:v>56.1985643878207</c:v>
                </c:pt>
                <c:pt idx="14">
                  <c:v>54.4498633714785</c:v>
                </c:pt>
                <c:pt idx="15">
                  <c:v>52.7694907783032</c:v>
                </c:pt>
                <c:pt idx="16">
                  <c:v>51.1547767560051</c:v>
                </c:pt>
                <c:pt idx="17">
                  <c:v>49.6031557736139</c:v>
                </c:pt>
                <c:pt idx="18">
                  <c:v>48.1121625452463</c:v>
                </c:pt>
                <c:pt idx="19">
                  <c:v>46.679428113148</c:v>
                </c:pt>
                <c:pt idx="20">
                  <c:v>45.3026760837859</c:v>
                </c:pt>
                <c:pt idx="21">
                  <c:v>43.9797190110112</c:v>
                </c:pt>
                <c:pt idx="22">
                  <c:v>42.7084549205447</c:v>
                </c:pt>
                <c:pt idx="23">
                  <c:v>41.4868639702655</c:v>
                </c:pt>
                <c:pt idx="24">
                  <c:v>40.3130052409935</c:v>
                </c:pt>
                <c:pt idx="25">
                  <c:v>39.1850136526691</c:v>
                </c:pt>
                <c:pt idx="26">
                  <c:v>38.1010970010295</c:v>
                </c:pt>
                <c:pt idx="27">
                  <c:v>37.0595331100728</c:v>
                </c:pt>
                <c:pt idx="28">
                  <c:v>36.0586670957865</c:v>
                </c:pt>
                <c:pt idx="29">
                  <c:v>35.0969087367932</c:v>
                </c:pt>
                <c:pt idx="30">
                  <c:v>34.1727299477341</c:v>
                </c:pt>
                <c:pt idx="31">
                  <c:v>33.2846623513779</c:v>
                </c:pt>
                <c:pt idx="32">
                  <c:v>32.431294945596</c:v>
                </c:pt>
                <c:pt idx="33">
                  <c:v>31.6112718614988</c:v>
                </c:pt>
                <c:pt idx="34">
                  <c:v>30.823290209169</c:v>
                </c:pt>
                <c:pt idx="35">
                  <c:v>30.0660980075716</c:v>
                </c:pt>
                <c:pt idx="36">
                  <c:v>29.3384921953488</c:v>
                </c:pt>
                <c:pt idx="37">
                  <c:v>28.6393167193424</c:v>
                </c:pt>
                <c:pt idx="38">
                  <c:v>27.967460697803</c:v>
                </c:pt>
                <c:pt idx="39">
                  <c:v>27.3218566553715</c:v>
                </c:pt>
                <c:pt idx="40">
                  <c:v>26.7014788270254</c:v>
                </c:pt>
                <c:pt idx="41">
                  <c:v>26.1053415282967</c:v>
                </c:pt>
                <c:pt idx="42">
                  <c:v>25.5324975891718</c:v>
                </c:pt>
                <c:pt idx="43">
                  <c:v>24.9820368491846</c:v>
                </c:pt>
                <c:pt idx="44">
                  <c:v>24.4530847113124</c:v>
                </c:pt>
                <c:pt idx="45">
                  <c:v>23.9448007523764</c:v>
                </c:pt>
                <c:pt idx="46">
                  <c:v>23.456377387739</c:v>
                </c:pt>
                <c:pt idx="47">
                  <c:v>22.9870385881769</c:v>
                </c:pt>
                <c:pt idx="48">
                  <c:v>22.5360386468904</c:v>
                </c:pt>
                <c:pt idx="49">
                  <c:v>22.1026609946908</c:v>
                </c:pt>
                <c:pt idx="50">
                  <c:v>21.6862170614825</c:v>
                </c:pt>
                <c:pt idx="51">
                  <c:v>21.2860451822318</c:v>
                </c:pt>
                <c:pt idx="52">
                  <c:v>20.9015095456832</c:v>
                </c:pt>
                <c:pt idx="53">
                  <c:v>20.5319991841538</c:v>
                </c:pt>
                <c:pt idx="54">
                  <c:v>20.1769270028</c:v>
                </c:pt>
                <c:pt idx="55">
                  <c:v>19.8357288468144</c:v>
                </c:pt>
                <c:pt idx="56">
                  <c:v>19.5078626050716</c:v>
                </c:pt>
                <c:pt idx="57">
                  <c:v>19.1928073487966</c:v>
                </c:pt>
                <c:pt idx="58">
                  <c:v>18.8900625038902</c:v>
                </c:pt>
                <c:pt idx="59">
                  <c:v>18.5991470555936</c:v>
                </c:pt>
                <c:pt idx="60">
                  <c:v>18.3195987842307</c:v>
                </c:pt>
                <c:pt idx="61">
                  <c:v>18.0509735308125</c:v>
                </c:pt>
                <c:pt idx="62">
                  <c:v>17.7928444913368</c:v>
                </c:pt>
                <c:pt idx="63">
                  <c:v>17.5448015386626</c:v>
                </c:pt>
                <c:pt idx="64">
                  <c:v>17.3064505708822</c:v>
                </c:pt>
                <c:pt idx="65">
                  <c:v>17.0774128851531</c:v>
                </c:pt>
                <c:pt idx="66">
                  <c:v>16.8573245759987</c:v>
                </c:pt>
                <c:pt idx="67">
                  <c:v>16.645835957118</c:v>
                </c:pt>
                <c:pt idx="68">
                  <c:v>16.4426110057888</c:v>
                </c:pt>
                <c:pt idx="69">
                  <c:v>16.2473268289789</c:v>
                </c:pt>
                <c:pt idx="70">
                  <c:v>16.0596731503194</c:v>
                </c:pt>
                <c:pt idx="71">
                  <c:v>15.8793518171235</c:v>
                </c:pt>
                <c:pt idx="72">
                  <c:v>15.7060763266677</c:v>
                </c:pt>
                <c:pt idx="73">
                  <c:v>15.5395713709835</c:v>
                </c:pt>
                <c:pt idx="74">
                  <c:v>15.3795723994356</c:v>
                </c:pt>
                <c:pt idx="75">
                  <c:v>15.2258251983917</c:v>
                </c:pt>
                <c:pt idx="76">
                  <c:v>15.0780854873163</c:v>
                </c:pt>
                <c:pt idx="77">
                  <c:v>14.9361185306469</c:v>
                </c:pt>
                <c:pt idx="78">
                  <c:v>14.7996987648354</c:v>
                </c:pt>
                <c:pt idx="79">
                  <c:v>14.6686094399625</c:v>
                </c:pt>
                <c:pt idx="80">
                  <c:v>14.5426422753552</c:v>
                </c:pt>
                <c:pt idx="81">
                  <c:v>14.4215971286619</c:v>
                </c:pt>
                <c:pt idx="82">
                  <c:v>14.3052816778561</c:v>
                </c:pt>
                <c:pt idx="83">
                  <c:v>14.1935111156671</c:v>
                </c:pt>
                <c:pt idx="84">
                  <c:v>14.0861078559499</c:v>
                </c:pt>
                <c:pt idx="85">
                  <c:v>13.9829012515275</c:v>
                </c:pt>
                <c:pt idx="86">
                  <c:v>13.8837273230599</c:v>
                </c:pt>
                <c:pt idx="87">
                  <c:v>13.7884284985055</c:v>
                </c:pt>
                <c:pt idx="88">
                  <c:v>13.6968533627639</c:v>
                </c:pt>
                <c:pt idx="89">
                  <c:v>13.6088564171005</c:v>
                </c:pt>
                <c:pt idx="90">
                  <c:v>13.5242978479718</c:v>
                </c:pt>
                <c:pt idx="91">
                  <c:v>13.4430433048829</c:v>
                </c:pt>
                <c:pt idx="92">
                  <c:v>13.3649636869256</c:v>
                </c:pt>
                <c:pt idx="93">
                  <c:v>13.2899349376569</c:v>
                </c:pt>
                <c:pt idx="94">
                  <c:v>13.2178378479925</c:v>
                </c:pt>
                <c:pt idx="95">
                  <c:v>13.1485578668022</c:v>
                </c:pt>
                <c:pt idx="96">
                  <c:v>13.0819849189055</c:v>
                </c:pt>
                <c:pt idx="97">
                  <c:v>13.0180132301793</c:v>
                </c:pt>
                <c:pt idx="98">
                  <c:v>12.9565411594994</c:v>
                </c:pt>
                <c:pt idx="99">
                  <c:v>12.8974710372482</c:v>
                </c:pt>
                <c:pt idx="100">
                  <c:v>12.8407090101327</c:v>
                </c:pt>
                <c:pt idx="101">
                  <c:v>12.7861648920665</c:v>
                </c:pt>
                <c:pt idx="102">
                  <c:v>12.7337520208776</c:v>
                </c:pt>
                <c:pt idx="103">
                  <c:v>12.6833871206159</c:v>
                </c:pt>
                <c:pt idx="104">
                  <c:v>12.6349901692408</c:v>
                </c:pt>
                <c:pt idx="105">
                  <c:v>12.5884842714778</c:v>
                </c:pt>
                <c:pt idx="106">
                  <c:v>12.5437955366445</c:v>
                </c:pt>
                <c:pt idx="107">
                  <c:v>12.5008529612496</c:v>
                </c:pt>
                <c:pt idx="108">
                  <c:v>12.459588316179</c:v>
                </c:pt>
                <c:pt idx="109">
                  <c:v>12.4199360382906</c:v>
                </c:pt>
                <c:pt idx="110">
                  <c:v>12.3818331262444</c:v>
                </c:pt>
                <c:pt idx="111">
                  <c:v>12.3452190404035</c:v>
                </c:pt>
                <c:pt idx="112">
                  <c:v>12.3100356066453</c:v>
                </c:pt>
                <c:pt idx="113">
                  <c:v>12.2762269239326</c:v>
                </c:pt>
                <c:pt idx="114">
                  <c:v>12.2437392754947</c:v>
                </c:pt>
                <c:pt idx="115">
                  <c:v>12.2125210434804</c:v>
                </c:pt>
                <c:pt idx="116">
                  <c:v>12.182522626945</c:v>
                </c:pt>
                <c:pt idx="117">
                  <c:v>12.1536963630419</c:v>
                </c:pt>
                <c:pt idx="118">
                  <c:v>12.1259964512938</c:v>
                </c:pt>
                <c:pt idx="119">
                  <c:v>12.099378880823</c:v>
                </c:pt>
                <c:pt idx="120">
                  <c:v>12.0738013604247</c:v>
                </c:pt>
                <c:pt idx="121">
                  <c:v>12.0492232513729</c:v>
                </c:pt>
                <c:pt idx="122">
                  <c:v>12.0256055028516</c:v>
                </c:pt>
                <c:pt idx="123">
                  <c:v>12.0029105899096</c:v>
                </c:pt>
                <c:pt idx="124">
                  <c:v>11.9811024538383</c:v>
                </c:pt>
                <c:pt idx="125">
                  <c:v>11.9601464448809</c:v>
                </c:pt>
                <c:pt idx="126">
                  <c:v>11.9400092671785</c:v>
                </c:pt>
                <c:pt idx="127">
                  <c:v>11.9206589258687</c:v>
                </c:pt>
                <c:pt idx="128">
                  <c:v>11.9020646762505</c:v>
                </c:pt>
                <c:pt idx="129">
                  <c:v>11.8841969749355</c:v>
                </c:pt>
                <c:pt idx="130">
                  <c:v>11.8670274329086</c:v>
                </c:pt>
                <c:pt idx="131">
                  <c:v>11.8505287704214</c:v>
                </c:pt>
                <c:pt idx="132">
                  <c:v>11.83467477365</c:v>
                </c:pt>
                <c:pt idx="133">
                  <c:v>11.819440253044</c:v>
                </c:pt>
                <c:pt idx="134">
                  <c:v>11.8048010033054</c:v>
                </c:pt>
                <c:pt idx="135">
                  <c:v>11.7907337649293</c:v>
                </c:pt>
                <c:pt idx="136">
                  <c:v>11.7772161872486</c:v>
                </c:pt>
                <c:pt idx="137">
                  <c:v>11.7642267929218</c:v>
                </c:pt>
                <c:pt idx="138">
                  <c:v>11.7517449438094</c:v>
                </c:pt>
                <c:pt idx="139">
                  <c:v>11.7397508081827</c:v>
                </c:pt>
                <c:pt idx="140">
                  <c:v>11.7282253292142</c:v>
                </c:pt>
                <c:pt idx="141">
                  <c:v>11.7171501946996</c:v>
                </c:pt>
                <c:pt idx="142">
                  <c:v>11.7065078079622</c:v>
                </c:pt>
                <c:pt idx="143">
                  <c:v>11.6962812598946</c:v>
                </c:pt>
                <c:pt idx="144">
                  <c:v>11.6864543020927</c:v>
                </c:pt>
                <c:pt idx="145">
                  <c:v>11.6770113210398</c:v>
                </c:pt>
                <c:pt idx="146">
                  <c:v>11.6679373132987</c:v>
                </c:pt>
                <c:pt idx="147">
                  <c:v>11.6592178616738</c:v>
                </c:pt>
                <c:pt idx="148">
                  <c:v>11.6508391123043</c:v>
                </c:pt>
                <c:pt idx="149">
                  <c:v>11.6427877526529</c:v>
                </c:pt>
                <c:pt idx="150">
                  <c:v>11.6350509903535</c:v>
                </c:pt>
                <c:pt idx="151">
                  <c:v>11.6276165328868</c:v>
                </c:pt>
                <c:pt idx="152">
                  <c:v>11.6204725680494</c:v>
                </c:pt>
                <c:pt idx="153">
                  <c:v>11.6136077451852</c:v>
                </c:pt>
                <c:pt idx="154">
                  <c:v>11.6070111571521</c:v>
                </c:pt>
                <c:pt idx="155">
                  <c:v>11.6006723229914</c:v>
                </c:pt>
                <c:pt idx="156">
                  <c:v>11.5945811712754</c:v>
                </c:pt>
                <c:pt idx="157">
                  <c:v>11.5887280241058</c:v>
                </c:pt>
                <c:pt idx="158">
                  <c:v>11.5831035817364</c:v>
                </c:pt>
                <c:pt idx="159">
                  <c:v>11.5776989077978</c:v>
                </c:pt>
                <c:pt idx="160">
                  <c:v>11.5725054150986</c:v>
                </c:pt>
                <c:pt idx="161">
                  <c:v>11.5675148519817</c:v>
                </c:pt>
                <c:pt idx="162">
                  <c:v>11.5627192892139</c:v>
                </c:pt>
                <c:pt idx="163">
                  <c:v>11.5581111073871</c:v>
                </c:pt>
                <c:pt idx="164">
                  <c:v>11.5536829848128</c:v>
                </c:pt>
                <c:pt idx="165">
                  <c:v>11.5494278858889</c:v>
                </c:pt>
                <c:pt idx="166">
                  <c:v>11.5453390499208</c:v>
                </c:pt>
                <c:pt idx="167">
                  <c:v>11.5414099803802</c:v>
                </c:pt>
                <c:pt idx="168">
                  <c:v>11.5376344345831</c:v>
                </c:pt>
                <c:pt idx="169">
                  <c:v>11.5340064137709</c:v>
                </c:pt>
                <c:pt idx="170">
                  <c:v>11.5305201535793</c:v>
                </c:pt>
                <c:pt idx="171">
                  <c:v>11.5271701148797</c:v>
                </c:pt>
                <c:pt idx="172">
                  <c:v>11.5239509749786</c:v>
                </c:pt>
                <c:pt idx="173">
                  <c:v>11.5208576191602</c:v>
                </c:pt>
                <c:pt idx="174">
                  <c:v>11.5178851325605</c:v>
                </c:pt>
                <c:pt idx="175">
                  <c:v>11.5150287923576</c:v>
                </c:pt>
                <c:pt idx="176">
                  <c:v>11.5122840602685</c:v>
                </c:pt>
                <c:pt idx="177">
                  <c:v>11.5096465753383</c:v>
                </c:pt>
                <c:pt idx="178">
                  <c:v>11.5071121470111</c:v>
                </c:pt>
                <c:pt idx="179">
                  <c:v>11.504676748472</c:v>
                </c:pt>
              </c:numCache>
            </c:numRef>
          </c:yVal>
          <c:smooth val="0"/>
        </c:ser>
        <c:axId val="92806690"/>
        <c:axId val="1943538"/>
      </c:scatterChart>
      <c:valAx>
        <c:axId val="92806690"/>
        <c:scaling>
          <c:orientation val="minMax"/>
        </c:scaling>
        <c:delete val="0"/>
        <c:axPos val="b"/>
        <c:majorGridlines>
          <c:spPr>
            <a:ln w="9360">
              <a:solidFill>
                <a:srgbClr val="878787"/>
              </a:solidFill>
              <a:round/>
            </a:ln>
          </c:spPr>
        </c:majorGridlines>
        <c:minorGridlines>
          <c:spPr>
            <a:ln w="9360">
              <a:solidFill>
                <a:srgbClr val="b7b7b7"/>
              </a:solidFill>
              <a:round/>
            </a:ln>
          </c:spPr>
        </c:minorGridlines>
        <c:title>
          <c:tx>
            <c:rich>
              <a:bodyPr rot="0"/>
              <a:lstStyle/>
              <a:p>
                <a:pPr>
                  <a:defRPr b="1" i="1" sz="1000" spc="-1" strike="noStrike">
                    <a:solidFill>
                      <a:srgbClr val="000000"/>
                    </a:solidFill>
                    <a:latin typeface="Calibri"/>
                  </a:defRPr>
                </a:pPr>
                <a:r>
                  <a:rPr b="1" i="1" sz="1000" spc="-1" strike="noStrike">
                    <a:solidFill>
                      <a:srgbClr val="000000"/>
                    </a:solidFill>
                    <a:latin typeface="Calibri"/>
                  </a:rPr>
                  <a:t>x</a:t>
                </a:r>
              </a:p>
            </c:rich>
          </c:tx>
          <c:overlay val="0"/>
        </c:title>
        <c:numFmt formatCode="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943538"/>
        <c:crosses val="autoZero"/>
        <c:crossBetween val="midCat"/>
      </c:valAx>
      <c:valAx>
        <c:axId val="1943538"/>
        <c:scaling>
          <c:orientation val="minMax"/>
        </c:scaling>
        <c:delete val="0"/>
        <c:axPos val="l"/>
        <c:majorGridlines>
          <c:spPr>
            <a:ln w="9360">
              <a:solidFill>
                <a:srgbClr val="878787"/>
              </a:solidFill>
              <a:round/>
            </a:ln>
          </c:spPr>
        </c:majorGridlines>
        <c:minorGridlines>
          <c:spPr>
            <a:ln w="9360">
              <a:solidFill>
                <a:srgbClr val="b7b7b7"/>
              </a:solidFill>
              <a:round/>
            </a:ln>
          </c:spPr>
        </c:minorGridlines>
        <c:title>
          <c:tx>
            <c:rich>
              <a:bodyPr rot="0"/>
              <a:lstStyle/>
              <a:p>
                <a:pPr>
                  <a:defRPr b="1" sz="1000" spc="-1" strike="noStrike">
                    <a:solidFill>
                      <a:srgbClr val="000000"/>
                    </a:solidFill>
                    <a:latin typeface="Calibri"/>
                  </a:defRPr>
                </a:pPr>
                <a:r>
                  <a:rPr b="1" sz="1000" spc="-1" strike="noStrike">
                    <a:solidFill>
                      <a:srgbClr val="000000"/>
                    </a:solidFill>
                    <a:latin typeface="Calibri"/>
                  </a:rPr>
                  <a:t>y</a:t>
                </a:r>
              </a:p>
            </c:rich>
          </c:tx>
          <c:overlay val="0"/>
        </c:title>
        <c:numFmt formatCode="0.000"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2806690"/>
        <c:crosses val="autoZero"/>
        <c:crossBetween val="midCat"/>
      </c:valAx>
      <c:spPr>
        <a:solidFill>
          <a:srgbClr val="ffffff"/>
        </a:solidFill>
        <a:ln>
          <a:noFill/>
        </a:ln>
      </c:spPr>
    </c:plotArea>
    <c:legend>
      <c:layout>
        <c:manualLayout>
          <c:xMode val="edge"/>
          <c:yMode val="edge"/>
          <c:x val="0.046375"/>
          <c:y val="0.870555555555555"/>
          <c:w val="0.258641165072817"/>
          <c:h val="0.0837870874541616"/>
        </c:manualLayout>
      </c:layout>
      <c:spPr>
        <a:noFill/>
        <a:ln>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a:noFill/>
    </a:ln>
  </c:spPr>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B220D-2BEA-4823-BAA5-3EE62110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Template>
  <TotalTime>411</TotalTime>
  <Application>LibreOffice/6.0.6.2$Windows_X86_64 LibreOffice_project/0c292870b25a325b5ed35f6b45599d2ea4458e77</Application>
  <Pages>5</Pages>
  <Words>844</Words>
  <Characters>4322</Characters>
  <CharactersWithSpaces>5126</CharactersWithSpaces>
  <Paragraphs>46</Paragraphs>
  <Company>HERRBACH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2019-01-29T10:10:00Z</dcterms:created>
  <dc:creator>Bruno Herrbach</dc:creator>
  <dc:description>Comment modéliser une série de points en physique, par une équation quelconque , avec l'aide d'Excel et du Solveur</dc:description>
  <cp:keywords>Excel Solveur Modélisation Série de points</cp:keywords>
  <dc:language>fr-FR</dc:language>
  <cp:lastModifiedBy/>
  <cp:lastPrinted>2019-01-29T16:49:00Z</cp:lastPrinted>
  <dcterms:modified xsi:type="dcterms:W3CDTF">2019-06-18T23:37:45Z</dcterms:modified>
  <cp:revision>17</cp:revision>
  <dc:subject/>
  <dc:title>Excel et le Solveur en Physique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HERRBACH</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