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B94" w:rsidRPr="00010038" w14:paraId="6A05F492" w14:textId="77777777" w:rsidTr="00CD11F3">
        <w:tc>
          <w:tcPr>
            <w:tcW w:w="9212" w:type="dxa"/>
          </w:tcPr>
          <w:p w14:paraId="67EB8205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50E7EBC8" w14:textId="454AF5C9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B57A2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</w:p>
          <w:p w14:paraId="6C4D3C0F" w14:textId="7777777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A72B94" w:rsidRPr="00010038" w14:paraId="181D410E" w14:textId="77777777" w:rsidTr="00CD11F3">
        <w:tc>
          <w:tcPr>
            <w:tcW w:w="9212" w:type="dxa"/>
          </w:tcPr>
          <w:p w14:paraId="01847F40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5312778A" w14:textId="20AD058F" w:rsidR="00A72B94" w:rsidRPr="00862EA3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367F8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valuation</w:t>
            </w:r>
          </w:p>
          <w:p w14:paraId="0680D94E" w14:textId="7777777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A72B94" w:rsidRPr="00010038" w14:paraId="519A5402" w14:textId="77777777" w:rsidTr="00CD11F3">
        <w:tc>
          <w:tcPr>
            <w:tcW w:w="9212" w:type="dxa"/>
          </w:tcPr>
          <w:p w14:paraId="35558702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2D293829" w14:textId="0605A12A" w:rsidR="00A72B94" w:rsidRPr="000C1312" w:rsidRDefault="00A72B94" w:rsidP="00CD11F3">
            <w:pPr>
              <w:spacing w:after="0"/>
              <w:jc w:val="both"/>
              <w:rPr>
                <w:b/>
                <w:bCs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2A5F6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 : </w:t>
            </w:r>
            <w:r w:rsidR="000C1312">
              <w:t xml:space="preserve"> </w:t>
            </w:r>
            <w:r w:rsidR="000C1312" w:rsidRPr="000C1312">
              <w:rPr>
                <w:b/>
                <w:bCs/>
              </w:rPr>
              <w:t>Les solutions aqueuses, un exemple de mélange.</w:t>
            </w:r>
          </w:p>
          <w:p w14:paraId="466A31AE" w14:textId="77777777" w:rsidR="000C1312" w:rsidRPr="000C1312" w:rsidRDefault="000C1312" w:rsidP="0085173C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  <w:r>
              <w:t xml:space="preserve">Solvant, soluté. </w:t>
            </w:r>
          </w:p>
          <w:p w14:paraId="6BD1258C" w14:textId="7300C669" w:rsidR="00A72B94" w:rsidRPr="00BD705E" w:rsidRDefault="000C1312" w:rsidP="0085173C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  <w:r>
              <w:t>Concentration en masse.</w:t>
            </w:r>
          </w:p>
        </w:tc>
      </w:tr>
      <w:tr w:rsidR="00A72B94" w:rsidRPr="00010038" w14:paraId="3BCC2A0A" w14:textId="77777777" w:rsidTr="00CD11F3">
        <w:tc>
          <w:tcPr>
            <w:tcW w:w="9212" w:type="dxa"/>
          </w:tcPr>
          <w:p w14:paraId="2895BD26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13862E47" w14:textId="77777777" w:rsidR="00A72B94" w:rsidRPr="00862EA3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4269652" w14:textId="77777777" w:rsidR="00A72B94" w:rsidRPr="000C1312" w:rsidRDefault="000C1312" w:rsidP="000C1312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t>Identifier le soluté et le solvant à partir de la composition ou du mode opératoire de préparation d’une solution.</w:t>
            </w:r>
          </w:p>
          <w:p w14:paraId="7CCBDE57" w14:textId="77777777" w:rsidR="000C1312" w:rsidRPr="004030C5" w:rsidRDefault="004030C5" w:rsidP="000C1312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t>Déterminer la valeur de la concentration en masse d’un soluté à partir du mode opératoire de préparation d’une solution par dissolution ou par dilution.</w:t>
            </w:r>
          </w:p>
          <w:p w14:paraId="18958997" w14:textId="38840414" w:rsidR="004030C5" w:rsidRPr="00526FA3" w:rsidRDefault="004030C5" w:rsidP="000C1312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t>Capacité mathématique : utiliser une grandeur quotient pour déterminer le numérateur ou le dénominateur.</w:t>
            </w:r>
          </w:p>
        </w:tc>
      </w:tr>
      <w:tr w:rsidR="00A72B94" w:rsidRPr="00010038" w14:paraId="79C41CD4" w14:textId="77777777" w:rsidTr="00CD11F3">
        <w:tc>
          <w:tcPr>
            <w:tcW w:w="9212" w:type="dxa"/>
          </w:tcPr>
          <w:p w14:paraId="2275A6B7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  <w:p w14:paraId="16896F3C" w14:textId="5E3CF62B" w:rsidR="00A72B94" w:rsidRPr="00862EA3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</w:t>
            </w:r>
            <w:r w:rsidR="00367F8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valuation de fin de sé</w:t>
            </w:r>
            <w:r w:rsidR="0044182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nce </w:t>
            </w:r>
          </w:p>
          <w:p w14:paraId="317CFF7A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2361CB61" w14:textId="7777777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A72B94" w:rsidRPr="00010038" w14:paraId="10555238" w14:textId="77777777" w:rsidTr="00CD11F3">
        <w:tc>
          <w:tcPr>
            <w:tcW w:w="9212" w:type="dxa"/>
          </w:tcPr>
          <w:p w14:paraId="7392F3FD" w14:textId="77777777" w:rsidR="00A72B94" w:rsidRPr="00862EA3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7A71E3A" w14:textId="2D40E3DE" w:rsidR="00A72B94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Cette évaluation</w:t>
            </w:r>
            <w:r w:rsidR="001169B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avec une répartition des points selon plusieurs compétences de la démarche scientifique,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permet de savoir si l’élève est capable </w:t>
            </w:r>
            <w:r w:rsidR="004030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d’identifier un soluté, de calculer une concentration en masse, de comparer une grandeur à </w:t>
            </w:r>
            <w:r w:rsidR="000303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une </w:t>
            </w:r>
            <w:r w:rsidR="004030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valeur de référence.</w:t>
            </w:r>
          </w:p>
          <w:p w14:paraId="113F97E0" w14:textId="77777777" w:rsidR="00A72B94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4FB22911" w14:textId="585A8748" w:rsidR="00A72B94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Du point des vue des compétences</w:t>
            </w:r>
            <w:r w:rsidR="0064052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et capacités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cette évaluation permet de vérifier qu</w:t>
            </w:r>
            <w:r w:rsidR="004030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4030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l’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élève sait : </w:t>
            </w:r>
          </w:p>
          <w:p w14:paraId="28E5CED6" w14:textId="4EC91CDC" w:rsidR="0003799C" w:rsidRDefault="00367F80" w:rsidP="0003799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03799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’approprier une problématique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2856B98D" w14:textId="70FE8AC6" w:rsidR="0003799C" w:rsidRDefault="00367F80" w:rsidP="0003799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 w:rsidR="0003799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xtraire et utiliser les valeurs numériques de grandeurs données et calculées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5F7FF897" w14:textId="06376E03" w:rsidR="00A72B94" w:rsidRDefault="00367F80" w:rsidP="00EC4D9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</w:t>
            </w:r>
            <w:r w:rsidR="0006311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roposer un protocole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58C42110" w14:textId="2D06D697" w:rsidR="00063114" w:rsidRDefault="00367F80" w:rsidP="00063114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="0006311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éaliser un calcul </w:t>
            </w:r>
            <w:r w:rsidR="002973F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en </w:t>
            </w:r>
            <w:r w:rsidR="0006311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utilisant des puissances de dix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77355753" w14:textId="1E269859" w:rsidR="00063114" w:rsidRDefault="00367F80" w:rsidP="00063114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</w:t>
            </w:r>
            <w:r w:rsidR="0006311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onvertir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2204F1F9" w14:textId="107A189E" w:rsidR="00063114" w:rsidRDefault="00367F80" w:rsidP="00EC4D9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</w:t>
            </w:r>
            <w:r w:rsidR="0006311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éterminer le numérateur d’une grandeur quotient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A1FC9CF" w14:textId="7D63EB0A" w:rsidR="00063114" w:rsidRDefault="00367F80" w:rsidP="00367F80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 w:rsidR="00CE395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rire un résultat avec la bonne unité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AD5E761" w14:textId="145C9852" w:rsidR="00CE395A" w:rsidRDefault="00367F80" w:rsidP="00EC4D9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</w:t>
            </w:r>
            <w:r w:rsidR="00CE395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tiliser un vocabulaire scientifique adapté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61C5999C" w14:textId="6304EF1E" w:rsidR="00CE395A" w:rsidRDefault="00367F80" w:rsidP="00EC4D9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</w:t>
            </w:r>
            <w:r w:rsidR="00CE395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onnaître la relation entre la </w:t>
            </w:r>
            <w:r w:rsidR="0064052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</w:t>
            </w:r>
            <w:r w:rsidR="00CE395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oncentration en masse, la masse de soluté et le volume d’une solution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;</w:t>
            </w:r>
          </w:p>
          <w:p w14:paraId="2CA35089" w14:textId="40853FB7" w:rsidR="00CE395A" w:rsidRPr="00010038" w:rsidRDefault="00CE395A" w:rsidP="00EC4D9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Connaitre la notion de soluté.</w:t>
            </w:r>
          </w:p>
        </w:tc>
      </w:tr>
      <w:tr w:rsidR="00A72B94" w:rsidRPr="00010038" w14:paraId="76470EAF" w14:textId="77777777" w:rsidTr="00CD11F3">
        <w:tc>
          <w:tcPr>
            <w:tcW w:w="9212" w:type="dxa"/>
          </w:tcPr>
          <w:p w14:paraId="343FD588" w14:textId="587784F7" w:rsidR="00A72B94" w:rsidRPr="00862EA3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EC4D9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Concentration en masse, isoler un numérateur, soluté, protocole de dissolution</w:t>
            </w:r>
          </w:p>
          <w:p w14:paraId="0FEF9C2C" w14:textId="7777777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A72B94" w:rsidRPr="00010038" w14:paraId="138F5FC4" w14:textId="77777777" w:rsidTr="00CD11F3">
        <w:tc>
          <w:tcPr>
            <w:tcW w:w="9212" w:type="dxa"/>
          </w:tcPr>
          <w:p w14:paraId="1F0B5373" w14:textId="04B2355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="00BD6C0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108D30A2" w14:textId="77777777" w:rsidR="00A72B94" w:rsidRPr="00010038" w:rsidRDefault="00A72B94" w:rsidP="00CD11F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75AEE1C7" w14:textId="51188FCB" w:rsidR="00A72B94" w:rsidRDefault="00A72B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5D7435D" w14:textId="77777777" w:rsidR="006949EA" w:rsidRDefault="006949EA" w:rsidP="006949EA">
      <w:pPr>
        <w:pStyle w:val="En-ttediscipline"/>
      </w:pPr>
      <w:r>
        <w:lastRenderedPageBreak/>
        <w:t>Physique-chimie</w:t>
      </w:r>
    </w:p>
    <w:p w14:paraId="0E403828" w14:textId="77777777" w:rsidR="006949EA" w:rsidRDefault="006949EA" w:rsidP="006949EA">
      <w:pPr>
        <w:pStyle w:val="En-tteprogramme"/>
      </w:pPr>
      <w:r>
        <w:t>Programme de la classe de Seconde.</w:t>
      </w:r>
    </w:p>
    <w:p w14:paraId="50B70330" w14:textId="76590E48" w:rsidR="006949EA" w:rsidRDefault="006949EA" w:rsidP="006949EA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185E8E6" w14:textId="77777777" w:rsidR="006949EA" w:rsidRDefault="006949EA" w:rsidP="006949EA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6C9506A" w14:textId="1202D22F" w:rsidR="00A72B94" w:rsidRPr="002B2399" w:rsidRDefault="006949EA" w:rsidP="0069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B2399">
        <w:rPr>
          <w:b/>
          <w:sz w:val="28"/>
          <w:szCs w:val="28"/>
        </w:rPr>
        <w:t>Évaluation</w:t>
      </w:r>
      <w:r w:rsidR="00A72B94" w:rsidRPr="002B2399">
        <w:rPr>
          <w:b/>
          <w:sz w:val="28"/>
          <w:szCs w:val="28"/>
        </w:rPr>
        <w:t xml:space="preserve"> sur </w:t>
      </w:r>
      <w:r w:rsidR="00A72B94">
        <w:rPr>
          <w:b/>
          <w:sz w:val="28"/>
          <w:szCs w:val="28"/>
        </w:rPr>
        <w:t>les solutions aqueuses</w:t>
      </w:r>
      <w:r w:rsidR="001169BD">
        <w:rPr>
          <w:b/>
          <w:sz w:val="28"/>
          <w:szCs w:val="28"/>
        </w:rPr>
        <w:t xml:space="preserve"> – concentration en masse</w:t>
      </w:r>
    </w:p>
    <w:p w14:paraId="36514C5E" w14:textId="77777777" w:rsidR="00A72B94" w:rsidRDefault="00A72B94" w:rsidP="009B7B05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60E64C29" w14:textId="76F4D4C6" w:rsidR="009B7B05" w:rsidRDefault="009B7B05" w:rsidP="009B7B0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367CA4">
        <w:rPr>
          <w:rFonts w:cstheme="minorHAnsi"/>
          <w:b/>
          <w:bCs/>
          <w:sz w:val="24"/>
          <w:szCs w:val="24"/>
        </w:rPr>
        <w:t>Nom, Prénom</w:t>
      </w:r>
      <w:r w:rsidR="00BD6C0F">
        <w:rPr>
          <w:rFonts w:cstheme="minorHAnsi"/>
          <w:b/>
          <w:bCs/>
          <w:sz w:val="24"/>
          <w:szCs w:val="24"/>
        </w:rPr>
        <w:t> </w:t>
      </w:r>
      <w:r w:rsidRPr="00367CA4">
        <w:rPr>
          <w:rFonts w:cstheme="minorHAnsi"/>
          <w:b/>
          <w:bCs/>
          <w:sz w:val="24"/>
          <w:szCs w:val="24"/>
        </w:rPr>
        <w:t xml:space="preserve">: </w:t>
      </w:r>
    </w:p>
    <w:p w14:paraId="29939C99" w14:textId="77777777" w:rsidR="00030350" w:rsidRPr="00367CA4" w:rsidRDefault="00030350" w:rsidP="009B7B05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7E04AD16" w14:textId="07BCD17F" w:rsidR="009B7B05" w:rsidRPr="00367CA4" w:rsidRDefault="009B7B05" w:rsidP="009B7B05">
      <w:p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67CA4">
        <w:rPr>
          <w:rFonts w:cstheme="minorHAnsi"/>
          <w:b/>
          <w:bCs/>
          <w:sz w:val="24"/>
          <w:szCs w:val="24"/>
          <w:u w:val="single"/>
        </w:rPr>
        <w:t>Exercice 1</w:t>
      </w:r>
      <w:r w:rsidR="00BD6C0F">
        <w:rPr>
          <w:rFonts w:cstheme="minorHAnsi"/>
          <w:b/>
          <w:bCs/>
          <w:sz w:val="24"/>
          <w:szCs w:val="24"/>
          <w:u w:val="single"/>
        </w:rPr>
        <w:t> </w:t>
      </w:r>
      <w:r w:rsidRPr="00367CA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0C1312">
        <w:rPr>
          <w:rFonts w:cstheme="minorHAnsi"/>
          <w:b/>
          <w:bCs/>
          <w:sz w:val="24"/>
          <w:szCs w:val="24"/>
          <w:u w:val="single"/>
        </w:rPr>
        <w:t>Bonne étiquette</w:t>
      </w:r>
      <w:r w:rsidR="00BD6C0F">
        <w:rPr>
          <w:rFonts w:cstheme="minorHAnsi"/>
          <w:b/>
          <w:bCs/>
          <w:sz w:val="24"/>
          <w:szCs w:val="24"/>
          <w:u w:val="single"/>
        </w:rPr>
        <w:t> </w:t>
      </w:r>
      <w:r w:rsidR="000C1312">
        <w:rPr>
          <w:rFonts w:cstheme="minorHAnsi"/>
          <w:b/>
          <w:bCs/>
          <w:sz w:val="24"/>
          <w:szCs w:val="24"/>
          <w:u w:val="single"/>
        </w:rPr>
        <w:t>?</w:t>
      </w:r>
    </w:p>
    <w:p w14:paraId="14713049" w14:textId="5FDFBDAF" w:rsidR="009B7B05" w:rsidRDefault="009B7B05" w:rsidP="009B7B05">
      <w:pPr>
        <w:spacing w:after="120"/>
        <w:jc w:val="both"/>
        <w:rPr>
          <w:rFonts w:cstheme="minorHAnsi"/>
          <w:sz w:val="24"/>
          <w:szCs w:val="24"/>
        </w:rPr>
      </w:pPr>
      <w:r w:rsidRPr="00367CA4">
        <w:rPr>
          <w:rFonts w:cstheme="minorHAnsi"/>
          <w:sz w:val="24"/>
          <w:szCs w:val="24"/>
        </w:rPr>
        <w:t xml:space="preserve">Un professeur de chimie veut </w:t>
      </w:r>
      <w:r w:rsidR="005B2123">
        <w:rPr>
          <w:rFonts w:cstheme="minorHAnsi"/>
          <w:sz w:val="24"/>
          <w:szCs w:val="24"/>
        </w:rPr>
        <w:t>préparer</w:t>
      </w:r>
      <w:r w:rsidRPr="00367CA4">
        <w:rPr>
          <w:rFonts w:cstheme="minorHAnsi"/>
          <w:sz w:val="24"/>
          <w:szCs w:val="24"/>
        </w:rPr>
        <w:t xml:space="preserve"> une solution</w:t>
      </w:r>
      <w:r w:rsidR="005B2123">
        <w:rPr>
          <w:rFonts w:cstheme="minorHAnsi"/>
          <w:sz w:val="24"/>
          <w:szCs w:val="24"/>
        </w:rPr>
        <w:t xml:space="preserve"> de volume </w:t>
      </w:r>
      <w:r w:rsidR="005B2123" w:rsidRPr="005B2123">
        <w:rPr>
          <w:rFonts w:cstheme="minorHAnsi"/>
          <w:i/>
          <w:iCs/>
          <w:sz w:val="24"/>
          <w:szCs w:val="24"/>
        </w:rPr>
        <w:t>V</w:t>
      </w:r>
      <w:r w:rsidR="005B2123">
        <w:rPr>
          <w:rFonts w:cstheme="minorHAnsi"/>
          <w:sz w:val="24"/>
          <w:szCs w:val="24"/>
        </w:rPr>
        <w:t xml:space="preserve"> = </w:t>
      </w:r>
      <w:r w:rsidR="005B2123" w:rsidRPr="00367CA4">
        <w:rPr>
          <w:rFonts w:cstheme="minorHAnsi"/>
          <w:sz w:val="24"/>
          <w:szCs w:val="24"/>
        </w:rPr>
        <w:t>50,0 mL</w:t>
      </w:r>
      <w:r w:rsidR="005B2123">
        <w:rPr>
          <w:rFonts w:cstheme="minorHAnsi"/>
          <w:sz w:val="24"/>
          <w:szCs w:val="24"/>
        </w:rPr>
        <w:t xml:space="preserve"> </w:t>
      </w:r>
      <w:r w:rsidR="005B2123" w:rsidRPr="00367CA4">
        <w:rPr>
          <w:rFonts w:cstheme="minorHAnsi"/>
          <w:sz w:val="24"/>
          <w:szCs w:val="24"/>
        </w:rPr>
        <w:t>contenant</w:t>
      </w:r>
      <w:r w:rsidR="005B2123">
        <w:rPr>
          <w:rFonts w:cstheme="minorHAnsi"/>
          <w:sz w:val="24"/>
          <w:szCs w:val="24"/>
        </w:rPr>
        <w:t xml:space="preserve"> une masse </w:t>
      </w:r>
      <w:r w:rsidR="005B2123" w:rsidRPr="005B2123">
        <w:rPr>
          <w:rFonts w:cstheme="minorHAnsi"/>
          <w:i/>
          <w:iCs/>
          <w:sz w:val="24"/>
          <w:szCs w:val="24"/>
        </w:rPr>
        <w:t>m</w:t>
      </w:r>
      <w:r w:rsidR="005B2123">
        <w:rPr>
          <w:rFonts w:cstheme="minorHAnsi"/>
          <w:sz w:val="24"/>
          <w:szCs w:val="24"/>
        </w:rPr>
        <w:t xml:space="preserve"> =</w:t>
      </w:r>
      <w:r w:rsidRPr="00367CA4">
        <w:rPr>
          <w:rFonts w:cstheme="minorHAnsi"/>
          <w:sz w:val="24"/>
          <w:szCs w:val="24"/>
        </w:rPr>
        <w:t xml:space="preserve"> 4,4 g de sel. Il écrit sur l’étiquette du flacon qui va contenir cette solution l’indication suivante</w:t>
      </w:r>
      <w:r w:rsidR="00BD6C0F">
        <w:rPr>
          <w:rFonts w:cstheme="minorHAnsi"/>
          <w:sz w:val="24"/>
          <w:szCs w:val="24"/>
        </w:rPr>
        <w:t> </w:t>
      </w:r>
      <w:r w:rsidRPr="00367CA4">
        <w:rPr>
          <w:rFonts w:cstheme="minorHAnsi"/>
          <w:sz w:val="24"/>
          <w:szCs w:val="24"/>
        </w:rPr>
        <w:t>:</w:t>
      </w:r>
    </w:p>
    <w:p w14:paraId="55562DC5" w14:textId="1BC7B136" w:rsidR="009B7B05" w:rsidRDefault="009B7B05" w:rsidP="009B7B05">
      <w:pPr>
        <w:spacing w:after="120"/>
        <w:jc w:val="center"/>
        <w:rPr>
          <w:rFonts w:cstheme="minorHAnsi"/>
          <w:sz w:val="24"/>
          <w:szCs w:val="24"/>
          <w:bdr w:val="single" w:sz="4" w:space="0" w:color="auto"/>
          <w:vertAlign w:val="superscript"/>
        </w:rPr>
      </w:pPr>
      <w:r w:rsidRPr="00367CA4">
        <w:rPr>
          <w:rFonts w:cstheme="minorHAnsi"/>
          <w:sz w:val="24"/>
          <w:szCs w:val="24"/>
          <w:bdr w:val="single" w:sz="4" w:space="0" w:color="auto"/>
        </w:rPr>
        <w:t>Concentration en masse</w:t>
      </w:r>
      <w:r w:rsidR="00BD6C0F">
        <w:rPr>
          <w:rFonts w:cstheme="minorHAnsi"/>
          <w:sz w:val="24"/>
          <w:szCs w:val="24"/>
          <w:bdr w:val="single" w:sz="4" w:space="0" w:color="auto"/>
        </w:rPr>
        <w:t> </w:t>
      </w:r>
      <w:r>
        <w:rPr>
          <w:rFonts w:cstheme="minorHAnsi"/>
          <w:sz w:val="24"/>
          <w:szCs w:val="24"/>
          <w:bdr w:val="single" w:sz="4" w:space="0" w:color="auto"/>
        </w:rPr>
        <w:t>:</w:t>
      </w:r>
      <w:r w:rsidRPr="00367CA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B2123">
        <w:rPr>
          <w:rFonts w:cstheme="minorHAnsi"/>
          <w:i/>
          <w:iCs/>
          <w:sz w:val="24"/>
          <w:szCs w:val="24"/>
          <w:bdr w:val="single" w:sz="4" w:space="0" w:color="auto"/>
        </w:rPr>
        <w:t>C</w:t>
      </w:r>
      <w:r w:rsidRPr="005B2123">
        <w:rPr>
          <w:rFonts w:cstheme="minorHAnsi"/>
          <w:sz w:val="24"/>
          <w:szCs w:val="24"/>
          <w:bdr w:val="single" w:sz="4" w:space="0" w:color="auto"/>
          <w:vertAlign w:val="subscript"/>
        </w:rPr>
        <w:t>m</w:t>
      </w:r>
      <w:r w:rsidRPr="00367CA4">
        <w:rPr>
          <w:rFonts w:cstheme="minorHAnsi"/>
          <w:sz w:val="24"/>
          <w:szCs w:val="24"/>
          <w:bdr w:val="single" w:sz="4" w:space="0" w:color="auto"/>
        </w:rPr>
        <w:t xml:space="preserve"> = </w:t>
      </w:r>
      <w:r>
        <w:rPr>
          <w:rFonts w:cstheme="minorHAnsi"/>
          <w:sz w:val="24"/>
          <w:szCs w:val="24"/>
          <w:bdr w:val="single" w:sz="4" w:space="0" w:color="auto"/>
        </w:rPr>
        <w:t>1,1</w:t>
      </w:r>
      <w:r w:rsidR="00990EEA">
        <w:rPr>
          <w:rFonts w:cstheme="minorHAnsi"/>
          <w:sz w:val="24"/>
          <w:szCs w:val="24"/>
          <w:bdr w:val="single" w:sz="4" w:space="0" w:color="auto"/>
        </w:rPr>
        <w:t xml:space="preserve"> x </w:t>
      </w:r>
      <w:r>
        <w:rPr>
          <w:rFonts w:cstheme="minorHAnsi"/>
          <w:sz w:val="24"/>
          <w:szCs w:val="24"/>
          <w:bdr w:val="single" w:sz="4" w:space="0" w:color="auto"/>
        </w:rPr>
        <w:t>10</w:t>
      </w:r>
      <w:r w:rsidRPr="00206322">
        <w:rPr>
          <w:rFonts w:cstheme="minorHAnsi"/>
          <w:sz w:val="24"/>
          <w:szCs w:val="24"/>
          <w:bdr w:val="single" w:sz="4" w:space="0" w:color="auto"/>
          <w:vertAlign w:val="superscript"/>
        </w:rPr>
        <w:t>-2</w:t>
      </w:r>
      <w:r w:rsidRPr="00367CA4">
        <w:rPr>
          <w:rFonts w:cstheme="minorHAnsi"/>
          <w:sz w:val="24"/>
          <w:szCs w:val="24"/>
          <w:bdr w:val="single" w:sz="4" w:space="0" w:color="auto"/>
        </w:rPr>
        <w:t xml:space="preserve"> g.L</w:t>
      </w:r>
      <w:r w:rsidRPr="00367CA4">
        <w:rPr>
          <w:rFonts w:cstheme="minorHAnsi"/>
          <w:sz w:val="24"/>
          <w:szCs w:val="24"/>
          <w:bdr w:val="single" w:sz="4" w:space="0" w:color="auto"/>
          <w:vertAlign w:val="superscript"/>
        </w:rPr>
        <w:t>-1</w:t>
      </w:r>
    </w:p>
    <w:p w14:paraId="6626C2D2" w14:textId="4B773997" w:rsidR="009B7B05" w:rsidRPr="00367CA4" w:rsidRDefault="009B7B05" w:rsidP="009B7B05">
      <w:pPr>
        <w:rPr>
          <w:rFonts w:cstheme="minorHAnsi"/>
          <w:sz w:val="24"/>
          <w:szCs w:val="24"/>
        </w:rPr>
      </w:pPr>
      <w:r w:rsidRPr="00367CA4">
        <w:rPr>
          <w:rFonts w:cstheme="minorHAnsi"/>
          <w:sz w:val="24"/>
          <w:szCs w:val="24"/>
        </w:rPr>
        <w:t xml:space="preserve">Cette indication est-elle </w:t>
      </w:r>
      <w:r>
        <w:rPr>
          <w:rFonts w:cstheme="minorHAnsi"/>
          <w:sz w:val="24"/>
          <w:szCs w:val="24"/>
        </w:rPr>
        <w:t>correcte</w:t>
      </w:r>
      <w:r w:rsidR="00BD6C0F">
        <w:rPr>
          <w:rFonts w:cstheme="minorHAnsi"/>
          <w:sz w:val="24"/>
          <w:szCs w:val="24"/>
        </w:rPr>
        <w:t> </w:t>
      </w:r>
      <w:r w:rsidRPr="00367CA4">
        <w:rPr>
          <w:rFonts w:cstheme="minorHAnsi"/>
          <w:sz w:val="24"/>
          <w:szCs w:val="24"/>
        </w:rPr>
        <w:t>? Justifie</w:t>
      </w:r>
      <w:r w:rsidR="005B2123">
        <w:rPr>
          <w:rFonts w:cstheme="minorHAnsi"/>
          <w:sz w:val="24"/>
          <w:szCs w:val="24"/>
        </w:rPr>
        <w:t>r</w:t>
      </w:r>
      <w:r w:rsidRPr="00367CA4">
        <w:rPr>
          <w:rFonts w:cstheme="minorHAnsi"/>
          <w:sz w:val="24"/>
          <w:szCs w:val="24"/>
        </w:rPr>
        <w:t xml:space="preserve"> en effectuant un calcul.</w:t>
      </w:r>
    </w:p>
    <w:p w14:paraId="780CCD79" w14:textId="77777777" w:rsidR="009B7B05" w:rsidRDefault="009B7B05" w:rsidP="009B7B05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</w:p>
    <w:p w14:paraId="1E339D56" w14:textId="295A9B37" w:rsidR="009B7B05" w:rsidRPr="00367CA4" w:rsidRDefault="009B7B05" w:rsidP="009B7B05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367CA4">
        <w:rPr>
          <w:rFonts w:cstheme="minorHAnsi"/>
          <w:b/>
          <w:sz w:val="24"/>
          <w:szCs w:val="24"/>
          <w:u w:val="single"/>
        </w:rPr>
        <w:t>Exercice 2</w:t>
      </w:r>
      <w:r w:rsidR="00BD6C0F">
        <w:rPr>
          <w:rFonts w:cstheme="minorHAnsi"/>
          <w:b/>
          <w:sz w:val="24"/>
          <w:szCs w:val="24"/>
          <w:u w:val="single"/>
        </w:rPr>
        <w:t> </w:t>
      </w:r>
      <w:r w:rsidRPr="00367CA4">
        <w:rPr>
          <w:rFonts w:cstheme="minorHAnsi"/>
          <w:b/>
          <w:sz w:val="24"/>
          <w:szCs w:val="24"/>
          <w:u w:val="single"/>
        </w:rPr>
        <w:t xml:space="preserve">: Préparation d’un </w:t>
      </w:r>
      <w:r w:rsidR="00B66023">
        <w:rPr>
          <w:rFonts w:cstheme="minorHAnsi"/>
          <w:b/>
          <w:sz w:val="24"/>
          <w:szCs w:val="24"/>
          <w:u w:val="single"/>
        </w:rPr>
        <w:t>p</w:t>
      </w:r>
      <w:r w:rsidRPr="00367CA4">
        <w:rPr>
          <w:rFonts w:cstheme="minorHAnsi"/>
          <w:b/>
          <w:sz w:val="24"/>
          <w:szCs w:val="24"/>
          <w:u w:val="single"/>
        </w:rPr>
        <w:t>harmacien.</w:t>
      </w:r>
    </w:p>
    <w:p w14:paraId="3D27A1D1" w14:textId="75E44185" w:rsidR="009B7B05" w:rsidRPr="00367CA4" w:rsidRDefault="009B7B05" w:rsidP="009B7B05">
      <w:pPr>
        <w:spacing w:after="120"/>
        <w:jc w:val="both"/>
        <w:rPr>
          <w:rFonts w:cstheme="minorHAnsi"/>
          <w:sz w:val="24"/>
          <w:szCs w:val="24"/>
        </w:rPr>
      </w:pPr>
      <w:r w:rsidRPr="00367CA4">
        <w:rPr>
          <w:rFonts w:cstheme="minorHAnsi"/>
          <w:sz w:val="24"/>
          <w:szCs w:val="24"/>
        </w:rPr>
        <w:t>Un pharmacien souhaite préparer un sirop</w:t>
      </w:r>
      <w:r w:rsidR="000C1312">
        <w:rPr>
          <w:rFonts w:cstheme="minorHAnsi"/>
          <w:sz w:val="24"/>
          <w:szCs w:val="24"/>
        </w:rPr>
        <w:t xml:space="preserve"> pour la toux</w:t>
      </w:r>
      <w:r w:rsidRPr="00367CA4">
        <w:rPr>
          <w:rFonts w:cstheme="minorHAnsi"/>
          <w:sz w:val="24"/>
          <w:szCs w:val="24"/>
        </w:rPr>
        <w:t xml:space="preserve">. Pour cela il doit commencer par </w:t>
      </w:r>
      <w:r>
        <w:rPr>
          <w:rFonts w:cstheme="minorHAnsi"/>
          <w:sz w:val="24"/>
          <w:szCs w:val="24"/>
        </w:rPr>
        <w:t>fabriquer</w:t>
      </w:r>
      <w:r w:rsidRPr="00367C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367CA4">
        <w:rPr>
          <w:rFonts w:cstheme="minorHAnsi"/>
          <w:sz w:val="24"/>
          <w:szCs w:val="24"/>
        </w:rPr>
        <w:t>00</w:t>
      </w:r>
      <w:r w:rsidR="0010620B">
        <w:rPr>
          <w:rFonts w:cstheme="minorHAnsi"/>
          <w:sz w:val="24"/>
          <w:szCs w:val="24"/>
        </w:rPr>
        <w:t xml:space="preserve"> </w:t>
      </w:r>
      <w:r w:rsidRPr="00367CA4">
        <w:rPr>
          <w:rFonts w:cstheme="minorHAnsi"/>
          <w:sz w:val="24"/>
          <w:szCs w:val="24"/>
        </w:rPr>
        <w:t>mL d</w:t>
      </w:r>
      <w:r w:rsidR="00BD6C0F">
        <w:rPr>
          <w:rFonts w:cstheme="minorHAnsi"/>
          <w:sz w:val="24"/>
          <w:szCs w:val="24"/>
        </w:rPr>
        <w:t>’</w:t>
      </w:r>
      <w:r w:rsidRPr="00367CA4">
        <w:rPr>
          <w:rFonts w:cstheme="minorHAnsi"/>
          <w:sz w:val="24"/>
          <w:szCs w:val="24"/>
        </w:rPr>
        <w:t xml:space="preserve">une solution aqueuse de saccharose (c’est le nom du sucre de table) dont la concentration en masse vaut </w:t>
      </w:r>
      <w:r w:rsidRPr="005B2123">
        <w:rPr>
          <w:rFonts w:cstheme="minorHAnsi"/>
          <w:i/>
          <w:iCs/>
          <w:sz w:val="24"/>
          <w:szCs w:val="24"/>
        </w:rPr>
        <w:t>C</w:t>
      </w:r>
      <w:r w:rsidRPr="00367CA4">
        <w:rPr>
          <w:rFonts w:cstheme="minorHAnsi"/>
          <w:sz w:val="24"/>
          <w:szCs w:val="24"/>
          <w:vertAlign w:val="subscript"/>
        </w:rPr>
        <w:t>m</w:t>
      </w:r>
      <w:r>
        <w:rPr>
          <w:rFonts w:cstheme="minorHAnsi"/>
          <w:sz w:val="24"/>
          <w:szCs w:val="24"/>
          <w:vertAlign w:val="subscript"/>
        </w:rPr>
        <w:t xml:space="preserve"> </w:t>
      </w:r>
      <w:r w:rsidRPr="00367CA4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9</w:t>
      </w:r>
      <w:r w:rsidRPr="00367CA4">
        <w:rPr>
          <w:rFonts w:cstheme="minorHAnsi"/>
          <w:sz w:val="24"/>
          <w:szCs w:val="24"/>
        </w:rPr>
        <w:t>0 g.L</w:t>
      </w:r>
      <w:r w:rsidRPr="00367CA4">
        <w:rPr>
          <w:rFonts w:cstheme="minorHAnsi"/>
          <w:sz w:val="24"/>
          <w:szCs w:val="24"/>
          <w:vertAlign w:val="superscript"/>
        </w:rPr>
        <w:t>-1</w:t>
      </w:r>
      <w:r w:rsidRPr="00367CA4">
        <w:rPr>
          <w:rFonts w:cstheme="minorHAnsi"/>
          <w:sz w:val="24"/>
          <w:szCs w:val="24"/>
        </w:rPr>
        <w:t>.</w:t>
      </w:r>
    </w:p>
    <w:p w14:paraId="3477A3E5" w14:textId="6B10E100" w:rsidR="009B7B05" w:rsidRPr="00367CA4" w:rsidRDefault="005B2123" w:rsidP="009B7B05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Préciser</w:t>
      </w:r>
      <w:r w:rsidR="009B7B05" w:rsidRPr="00367CA4">
        <w:rPr>
          <w:rFonts w:cstheme="minorHAnsi"/>
          <w:sz w:val="24"/>
          <w:szCs w:val="24"/>
        </w:rPr>
        <w:t xml:space="preserve"> le nom du so</w:t>
      </w:r>
      <w:r w:rsidR="009B7B05">
        <w:rPr>
          <w:rFonts w:cstheme="minorHAnsi"/>
          <w:sz w:val="24"/>
          <w:szCs w:val="24"/>
        </w:rPr>
        <w:t>luté</w:t>
      </w:r>
      <w:r w:rsidR="009B7B05" w:rsidRPr="00367CA4">
        <w:rPr>
          <w:rFonts w:cstheme="minorHAnsi"/>
          <w:sz w:val="24"/>
          <w:szCs w:val="24"/>
        </w:rPr>
        <w:t>. Justifie</w:t>
      </w:r>
      <w:r>
        <w:rPr>
          <w:rFonts w:cstheme="minorHAnsi"/>
          <w:sz w:val="24"/>
          <w:szCs w:val="24"/>
        </w:rPr>
        <w:t>r</w:t>
      </w:r>
      <w:r w:rsidR="009B7B05" w:rsidRPr="00367CA4">
        <w:rPr>
          <w:rFonts w:cstheme="minorHAnsi"/>
          <w:sz w:val="24"/>
          <w:szCs w:val="24"/>
        </w:rPr>
        <w:t>.</w:t>
      </w:r>
    </w:p>
    <w:p w14:paraId="6CD76147" w14:textId="39017E5F" w:rsidR="009B7B05" w:rsidRPr="003C4AC1" w:rsidRDefault="005B2123" w:rsidP="009B7B05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Écrire</w:t>
      </w:r>
      <w:r w:rsidR="009B7B05" w:rsidRPr="003C4AC1">
        <w:rPr>
          <w:rFonts w:cstheme="minorHAnsi"/>
          <w:sz w:val="24"/>
          <w:szCs w:val="24"/>
        </w:rPr>
        <w:t xml:space="preserve"> la relation entre la concentration en masse de soluté</w:t>
      </w:r>
      <w:r w:rsidR="00145C3B">
        <w:rPr>
          <w:rFonts w:cstheme="minorHAnsi"/>
          <w:sz w:val="24"/>
          <w:szCs w:val="24"/>
        </w:rPr>
        <w:t xml:space="preserve"> </w:t>
      </w:r>
      <w:r w:rsidR="00145C3B" w:rsidRPr="005B2123">
        <w:rPr>
          <w:rFonts w:cstheme="minorHAnsi"/>
          <w:i/>
          <w:iCs/>
          <w:sz w:val="24"/>
          <w:szCs w:val="24"/>
        </w:rPr>
        <w:t>C</w:t>
      </w:r>
      <w:r w:rsidR="00145C3B" w:rsidRPr="00367CA4">
        <w:rPr>
          <w:rFonts w:cstheme="minorHAnsi"/>
          <w:sz w:val="24"/>
          <w:szCs w:val="24"/>
          <w:vertAlign w:val="subscript"/>
        </w:rPr>
        <w:t>m</w:t>
      </w:r>
      <w:r w:rsidR="009B7B05" w:rsidRPr="003C4AC1">
        <w:rPr>
          <w:rFonts w:cstheme="minorHAnsi"/>
          <w:sz w:val="24"/>
          <w:szCs w:val="24"/>
        </w:rPr>
        <w:t xml:space="preserve">, la masse de soluté </w:t>
      </w:r>
      <w:r w:rsidR="009B7B05" w:rsidRPr="005B2123">
        <w:rPr>
          <w:rFonts w:cstheme="minorHAnsi"/>
          <w:i/>
          <w:iCs/>
          <w:sz w:val="24"/>
          <w:szCs w:val="24"/>
        </w:rPr>
        <w:t>m</w:t>
      </w:r>
      <w:r w:rsidR="009B7B05" w:rsidRPr="003C4AC1">
        <w:rPr>
          <w:rFonts w:cstheme="minorHAnsi"/>
          <w:sz w:val="24"/>
          <w:szCs w:val="24"/>
          <w:vertAlign w:val="subscript"/>
        </w:rPr>
        <w:t>soluté</w:t>
      </w:r>
      <w:r w:rsidR="009B7B05" w:rsidRPr="003C4AC1">
        <w:rPr>
          <w:rFonts w:cstheme="minorHAnsi"/>
          <w:sz w:val="24"/>
          <w:szCs w:val="24"/>
        </w:rPr>
        <w:t xml:space="preserve"> et le volume de solution </w:t>
      </w:r>
      <w:r w:rsidR="009B7B05" w:rsidRPr="005B2123">
        <w:rPr>
          <w:rFonts w:cstheme="minorHAnsi"/>
          <w:i/>
          <w:iCs/>
          <w:sz w:val="24"/>
          <w:szCs w:val="24"/>
        </w:rPr>
        <w:t>V</w:t>
      </w:r>
      <w:r w:rsidR="009B7B05" w:rsidRPr="003C4AC1">
        <w:rPr>
          <w:rFonts w:cstheme="minorHAnsi"/>
          <w:sz w:val="24"/>
          <w:szCs w:val="24"/>
          <w:vertAlign w:val="subscript"/>
        </w:rPr>
        <w:t>solution</w:t>
      </w:r>
      <w:r w:rsidR="009B7B05" w:rsidRPr="003C4AC1">
        <w:rPr>
          <w:rFonts w:cstheme="minorHAnsi"/>
          <w:sz w:val="24"/>
          <w:szCs w:val="24"/>
        </w:rPr>
        <w:t xml:space="preserve">. </w:t>
      </w:r>
    </w:p>
    <w:p w14:paraId="1DBBDFE0" w14:textId="77D2DB08" w:rsidR="009B7B05" w:rsidRPr="00367CA4" w:rsidRDefault="009B7B05" w:rsidP="009B7B05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Dans</w:t>
      </w:r>
      <w:r w:rsidRPr="00367CA4">
        <w:rPr>
          <w:rFonts w:cstheme="minorHAnsi"/>
          <w:sz w:val="24"/>
          <w:szCs w:val="24"/>
        </w:rPr>
        <w:t xml:space="preserve"> la relation précédente, </w:t>
      </w:r>
      <w:r>
        <w:rPr>
          <w:rFonts w:cstheme="minorHAnsi"/>
          <w:sz w:val="24"/>
          <w:szCs w:val="24"/>
        </w:rPr>
        <w:t>isole</w:t>
      </w:r>
      <w:r w:rsidR="005B212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le terme </w:t>
      </w:r>
      <w:r w:rsidRPr="005B2123">
        <w:rPr>
          <w:rFonts w:cstheme="minorHAnsi"/>
          <w:i/>
          <w:iCs/>
          <w:sz w:val="24"/>
          <w:szCs w:val="24"/>
        </w:rPr>
        <w:t>m</w:t>
      </w:r>
      <w:r w:rsidRPr="003C4AC1">
        <w:rPr>
          <w:rFonts w:cstheme="minorHAnsi"/>
          <w:sz w:val="24"/>
          <w:szCs w:val="24"/>
          <w:vertAlign w:val="subscript"/>
        </w:rPr>
        <w:t>soluté</w:t>
      </w:r>
      <w:r>
        <w:rPr>
          <w:rFonts w:cstheme="minorHAnsi"/>
          <w:sz w:val="24"/>
          <w:szCs w:val="24"/>
          <w:vertAlign w:val="subscript"/>
        </w:rPr>
        <w:t xml:space="preserve">, </w:t>
      </w:r>
      <w:r>
        <w:rPr>
          <w:rFonts w:cstheme="minorHAnsi"/>
          <w:sz w:val="24"/>
          <w:szCs w:val="24"/>
        </w:rPr>
        <w:t>puis</w:t>
      </w:r>
      <w:r w:rsidRPr="00367CA4">
        <w:rPr>
          <w:rFonts w:cstheme="minorHAnsi"/>
          <w:sz w:val="24"/>
          <w:szCs w:val="24"/>
        </w:rPr>
        <w:t xml:space="preserve"> calcule</w:t>
      </w:r>
      <w:r w:rsidR="005B2123">
        <w:rPr>
          <w:rFonts w:cstheme="minorHAnsi"/>
          <w:sz w:val="24"/>
          <w:szCs w:val="24"/>
        </w:rPr>
        <w:t>r</w:t>
      </w:r>
      <w:r w:rsidRPr="00367CA4">
        <w:rPr>
          <w:rFonts w:cstheme="minorHAnsi"/>
          <w:sz w:val="24"/>
          <w:szCs w:val="24"/>
        </w:rPr>
        <w:t xml:space="preserve"> la masse de </w:t>
      </w:r>
      <w:r>
        <w:rPr>
          <w:rFonts w:cstheme="minorHAnsi"/>
          <w:sz w:val="24"/>
          <w:szCs w:val="24"/>
        </w:rPr>
        <w:t>soluté</w:t>
      </w:r>
      <w:r w:rsidRPr="00367CA4">
        <w:rPr>
          <w:rFonts w:cstheme="minorHAnsi"/>
          <w:sz w:val="24"/>
          <w:szCs w:val="24"/>
        </w:rPr>
        <w:t xml:space="preserve"> que le pharmacien doit p</w:t>
      </w:r>
      <w:r>
        <w:rPr>
          <w:rFonts w:cstheme="minorHAnsi"/>
          <w:sz w:val="24"/>
          <w:szCs w:val="24"/>
        </w:rPr>
        <w:t>eser</w:t>
      </w:r>
      <w:r w:rsidRPr="00367CA4">
        <w:rPr>
          <w:rFonts w:cstheme="minorHAnsi"/>
          <w:sz w:val="24"/>
          <w:szCs w:val="24"/>
        </w:rPr>
        <w:t xml:space="preserve"> pour réaliser le sirop. </w:t>
      </w:r>
    </w:p>
    <w:p w14:paraId="4B884A40" w14:textId="2C87A645" w:rsidR="009B7B05" w:rsidRPr="00367CA4" w:rsidRDefault="009B7B05" w:rsidP="009B7B05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  <w:i/>
          <w:sz w:val="24"/>
          <w:szCs w:val="24"/>
        </w:rPr>
      </w:pPr>
      <w:r w:rsidRPr="00367CA4">
        <w:rPr>
          <w:rFonts w:cstheme="minorHAnsi"/>
          <w:sz w:val="24"/>
          <w:szCs w:val="24"/>
        </w:rPr>
        <w:t>Propose</w:t>
      </w:r>
      <w:r w:rsidR="005B2123">
        <w:rPr>
          <w:rFonts w:cstheme="minorHAnsi"/>
          <w:sz w:val="24"/>
          <w:szCs w:val="24"/>
        </w:rPr>
        <w:t>r</w:t>
      </w:r>
      <w:r w:rsidRPr="00367CA4">
        <w:rPr>
          <w:rFonts w:cstheme="minorHAnsi"/>
          <w:sz w:val="24"/>
          <w:szCs w:val="24"/>
        </w:rPr>
        <w:t xml:space="preserve"> au pharmacien un protocole pour réaliser cette dissolution.</w:t>
      </w:r>
    </w:p>
    <w:p w14:paraId="3487088C" w14:textId="6AFD731F" w:rsidR="009D46F4" w:rsidRDefault="009D46F4">
      <w:r>
        <w:br w:type="page"/>
      </w:r>
    </w:p>
    <w:p w14:paraId="7908F8B3" w14:textId="77777777" w:rsidR="009D46F4" w:rsidRPr="009A435E" w:rsidRDefault="009D46F4" w:rsidP="009D46F4">
      <w:pPr>
        <w:rPr>
          <w:b/>
          <w:bCs/>
        </w:rPr>
      </w:pPr>
      <w:r w:rsidRPr="009A435E">
        <w:rPr>
          <w:b/>
          <w:bCs/>
        </w:rPr>
        <w:lastRenderedPageBreak/>
        <w:t>Correction / Barème sur 20 points</w:t>
      </w:r>
    </w:p>
    <w:tbl>
      <w:tblPr>
        <w:tblStyle w:val="Grilledutableau"/>
        <w:tblW w:w="1035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276"/>
        <w:gridCol w:w="1275"/>
        <w:gridCol w:w="1276"/>
        <w:gridCol w:w="1134"/>
        <w:gridCol w:w="1143"/>
      </w:tblGrid>
      <w:tr w:rsidR="009D46F4" w:rsidRPr="009A435E" w14:paraId="58C008E3" w14:textId="77777777" w:rsidTr="00E96240">
        <w:trPr>
          <w:trHeight w:val="298"/>
        </w:trPr>
        <w:tc>
          <w:tcPr>
            <w:tcW w:w="2122" w:type="dxa"/>
          </w:tcPr>
          <w:p w14:paraId="6839F38B" w14:textId="77777777" w:rsidR="009D46F4" w:rsidRPr="009A435E" w:rsidRDefault="009D46F4" w:rsidP="00CD11F3">
            <w:pPr>
              <w:jc w:val="center"/>
              <w:rPr>
                <w:b/>
                <w:bCs/>
              </w:rPr>
            </w:pPr>
            <w:r w:rsidRPr="009A435E">
              <w:rPr>
                <w:b/>
                <w:bCs/>
              </w:rPr>
              <w:t>Réponse</w:t>
            </w:r>
          </w:p>
        </w:tc>
        <w:tc>
          <w:tcPr>
            <w:tcW w:w="2126" w:type="dxa"/>
          </w:tcPr>
          <w:p w14:paraId="124119E7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1276" w:type="dxa"/>
          </w:tcPr>
          <w:p w14:paraId="668B76CD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ANA</w:t>
            </w:r>
          </w:p>
        </w:tc>
        <w:tc>
          <w:tcPr>
            <w:tcW w:w="1275" w:type="dxa"/>
          </w:tcPr>
          <w:p w14:paraId="0F59860B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REA</w:t>
            </w:r>
          </w:p>
        </w:tc>
        <w:tc>
          <w:tcPr>
            <w:tcW w:w="1276" w:type="dxa"/>
          </w:tcPr>
          <w:p w14:paraId="7878193A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1134" w:type="dxa"/>
          </w:tcPr>
          <w:p w14:paraId="326CBFFB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VAL</w:t>
            </w:r>
          </w:p>
        </w:tc>
        <w:tc>
          <w:tcPr>
            <w:tcW w:w="1143" w:type="dxa"/>
          </w:tcPr>
          <w:p w14:paraId="110DC80B" w14:textId="77777777" w:rsidR="009D46F4" w:rsidRPr="009A435E" w:rsidRDefault="009D46F4" w:rsidP="00CD11F3">
            <w:pPr>
              <w:jc w:val="center"/>
              <w:rPr>
                <w:b/>
                <w:bCs/>
                <w:sz w:val="18"/>
                <w:szCs w:val="18"/>
              </w:rPr>
            </w:pPr>
            <w:r w:rsidRPr="009A435E">
              <w:rPr>
                <w:b/>
                <w:bCs/>
                <w:sz w:val="18"/>
                <w:szCs w:val="18"/>
              </w:rPr>
              <w:t>RCO</w:t>
            </w:r>
          </w:p>
        </w:tc>
      </w:tr>
      <w:tr w:rsidR="001B5703" w:rsidRPr="009A435E" w14:paraId="5607A782" w14:textId="77777777" w:rsidTr="00E96240">
        <w:trPr>
          <w:trHeight w:val="1372"/>
        </w:trPr>
        <w:tc>
          <w:tcPr>
            <w:tcW w:w="2122" w:type="dxa"/>
            <w:vMerge w:val="restart"/>
          </w:tcPr>
          <w:p w14:paraId="34B5864B" w14:textId="1FE3E6C6" w:rsidR="001B5703" w:rsidRPr="009A435E" w:rsidRDefault="001B5703" w:rsidP="00B77208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 xml:space="preserve">Exercice 1 : </w:t>
            </w:r>
          </w:p>
          <w:p w14:paraId="5A21E3D3" w14:textId="07CF3F21" w:rsidR="001B5703" w:rsidRPr="009A435E" w:rsidRDefault="001B5703" w:rsidP="00B77208">
            <w:pPr>
              <w:rPr>
                <w:rFonts w:eastAsiaTheme="minorEastAsia"/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 xml:space="preserve">Il s’agit de calculer </w:t>
            </w:r>
            <w:r w:rsidRPr="00145C3B">
              <w:rPr>
                <w:i/>
                <w:iCs/>
                <w:sz w:val="20"/>
                <w:szCs w:val="20"/>
              </w:rPr>
              <w:t>C</w:t>
            </w:r>
            <w:r w:rsidRPr="009A435E">
              <w:rPr>
                <w:sz w:val="20"/>
                <w:szCs w:val="20"/>
                <w:vertAlign w:val="subscript"/>
              </w:rPr>
              <w:t>m</w:t>
            </w:r>
            <w:r w:rsidRPr="009A435E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4,4 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50,0.10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L</m:t>
                  </m:r>
                </m:den>
              </m:f>
            </m:oMath>
            <w:r w:rsidRPr="009A435E">
              <w:rPr>
                <w:rFonts w:eastAsiaTheme="minorEastAsia"/>
                <w:sz w:val="20"/>
                <w:szCs w:val="20"/>
              </w:rPr>
              <w:t xml:space="preserve"> = 88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g.L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</w:p>
        </w:tc>
        <w:tc>
          <w:tcPr>
            <w:tcW w:w="2126" w:type="dxa"/>
          </w:tcPr>
          <w:p w14:paraId="612DFD0D" w14:textId="0BD26211" w:rsidR="001B5703" w:rsidRPr="009A435E" w:rsidRDefault="001B5703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 xml:space="preserve">Le problème est identifié, il faut calculer </w:t>
            </w:r>
            <w:r w:rsidRPr="00145C3B">
              <w:rPr>
                <w:i/>
                <w:iCs/>
                <w:sz w:val="20"/>
                <w:szCs w:val="20"/>
              </w:rPr>
              <w:t>C</w:t>
            </w:r>
            <w:r w:rsidRPr="009A435E">
              <w:rPr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276" w:type="dxa"/>
            <w:vMerge w:val="restart"/>
          </w:tcPr>
          <w:p w14:paraId="3C51CF0A" w14:textId="6C461C6D" w:rsidR="001B5703" w:rsidRPr="009A435E" w:rsidRDefault="00E96240" w:rsidP="00B7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raisonnement suivant est suivi : l</w:t>
            </w:r>
            <w:r w:rsidR="001B5703" w:rsidRPr="009A435E">
              <w:rPr>
                <w:sz w:val="20"/>
                <w:szCs w:val="20"/>
              </w:rPr>
              <w:t>a concentration en masse correspond à la masse de soluté ramenée au volume de solution.</w:t>
            </w:r>
          </w:p>
        </w:tc>
        <w:tc>
          <w:tcPr>
            <w:tcW w:w="1275" w:type="dxa"/>
          </w:tcPr>
          <w:p w14:paraId="1E9A529D" w14:textId="5E0B3E9D" w:rsidR="001B5703" w:rsidRPr="009A435E" w:rsidRDefault="001B5703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 xml:space="preserve">Conversion des mL en L </w:t>
            </w:r>
          </w:p>
          <w:p w14:paraId="29807B04" w14:textId="04788531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0FC0DC3" w14:textId="4C3ECFD7" w:rsidR="001B5703" w:rsidRPr="009A435E" w:rsidRDefault="001B5703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Présence de la bonne unité du résultat</w:t>
            </w:r>
          </w:p>
        </w:tc>
        <w:tc>
          <w:tcPr>
            <w:tcW w:w="1134" w:type="dxa"/>
            <w:vMerge w:val="restart"/>
          </w:tcPr>
          <w:p w14:paraId="20A8CC5B" w14:textId="77777777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06B482B9" w14:textId="1C9C154D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</w:tr>
      <w:tr w:rsidR="001B5703" w:rsidRPr="009A435E" w14:paraId="464A657A" w14:textId="77777777" w:rsidTr="00E96240">
        <w:trPr>
          <w:trHeight w:val="893"/>
        </w:trPr>
        <w:tc>
          <w:tcPr>
            <w:tcW w:w="2122" w:type="dxa"/>
            <w:vMerge/>
          </w:tcPr>
          <w:p w14:paraId="6F8CF7C0" w14:textId="77777777" w:rsidR="001B5703" w:rsidRPr="009A435E" w:rsidRDefault="001B5703" w:rsidP="00B772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961B6" w14:textId="49C56C55" w:rsidR="001B5703" w:rsidRPr="009A435E" w:rsidRDefault="001B5703" w:rsidP="00B77208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Les valeurs de la masse et du volume de solution sont bien utilisées.</w:t>
            </w:r>
          </w:p>
        </w:tc>
        <w:tc>
          <w:tcPr>
            <w:tcW w:w="1276" w:type="dxa"/>
            <w:vMerge/>
          </w:tcPr>
          <w:p w14:paraId="18F63865" w14:textId="77777777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E33CA" w14:textId="21601226" w:rsidR="001B5703" w:rsidRPr="009A435E" w:rsidRDefault="001B5703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Calcul bien effectué</w:t>
            </w:r>
          </w:p>
        </w:tc>
        <w:tc>
          <w:tcPr>
            <w:tcW w:w="1276" w:type="dxa"/>
            <w:vMerge/>
          </w:tcPr>
          <w:p w14:paraId="3F758F98" w14:textId="77777777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129170" w14:textId="77777777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0F6239A7" w14:textId="77777777" w:rsidR="001B5703" w:rsidRPr="009A435E" w:rsidRDefault="001B5703" w:rsidP="00B77208">
            <w:pPr>
              <w:rPr>
                <w:sz w:val="20"/>
                <w:szCs w:val="20"/>
              </w:rPr>
            </w:pPr>
          </w:p>
        </w:tc>
      </w:tr>
      <w:tr w:rsidR="00B77208" w:rsidRPr="009A435E" w14:paraId="2D532043" w14:textId="77777777" w:rsidTr="00E96240">
        <w:trPr>
          <w:trHeight w:val="893"/>
        </w:trPr>
        <w:tc>
          <w:tcPr>
            <w:tcW w:w="2122" w:type="dxa"/>
          </w:tcPr>
          <w:p w14:paraId="7EB1F7D2" w14:textId="5AB4C25F" w:rsidR="00B77208" w:rsidRPr="009A435E" w:rsidRDefault="00B77208" w:rsidP="00B77208">
            <w:pPr>
              <w:rPr>
                <w:sz w:val="20"/>
                <w:szCs w:val="20"/>
              </w:rPr>
            </w:pPr>
            <w:r w:rsidRPr="009A435E">
              <w:rPr>
                <w:rFonts w:eastAsiaTheme="minorEastAsia"/>
                <w:sz w:val="20"/>
                <w:szCs w:val="20"/>
              </w:rPr>
              <w:t xml:space="preserve">88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g.L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Pr="009A435E">
              <w:rPr>
                <w:rFonts w:eastAsiaTheme="minorEastAsia"/>
                <w:sz w:val="20"/>
                <w:szCs w:val="20"/>
              </w:rPr>
              <w:t xml:space="preserve"> est très différent de </w:t>
            </w:r>
            <w:r w:rsidR="00FB35D0">
              <w:rPr>
                <w:rFonts w:eastAsiaTheme="minorEastAsia"/>
                <w:sz w:val="20"/>
                <w:szCs w:val="20"/>
              </w:rPr>
              <w:t>1,1 x 10</w:t>
            </w:r>
            <w:r w:rsidR="00FB35D0">
              <w:rPr>
                <w:rFonts w:eastAsiaTheme="minorEastAsia"/>
                <w:sz w:val="20"/>
                <w:szCs w:val="20"/>
                <w:vertAlign w:val="superscript"/>
              </w:rPr>
              <w:t>-2</w:t>
            </w:r>
            <w:r w:rsidRPr="009A435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g.L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Pr="009A435E">
              <w:rPr>
                <w:rFonts w:eastAsiaTheme="minorEastAsia"/>
                <w:sz w:val="20"/>
                <w:szCs w:val="20"/>
              </w:rPr>
              <w:t xml:space="preserve">, donc l’indication portée sur l’étiquette est fausse, c’est d’ailleurs le résultat du </w:t>
            </w:r>
            <w:r w:rsidR="001B5703">
              <w:rPr>
                <w:rFonts w:eastAsiaTheme="minorEastAsia"/>
                <w:sz w:val="20"/>
                <w:szCs w:val="20"/>
              </w:rPr>
              <w:t xml:space="preserve">raisonnement </w:t>
            </w:r>
            <w:r w:rsidRPr="009A435E">
              <w:rPr>
                <w:rFonts w:eastAsiaTheme="minorEastAsia"/>
                <w:sz w:val="20"/>
                <w:szCs w:val="20"/>
              </w:rPr>
              <w:t>inverse.</w:t>
            </w:r>
          </w:p>
        </w:tc>
        <w:tc>
          <w:tcPr>
            <w:tcW w:w="2126" w:type="dxa"/>
          </w:tcPr>
          <w:p w14:paraId="0C7D2C14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0A740" w14:textId="0F4B8001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ED0DA1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0A8FC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FC109" w14:textId="4F43D39E" w:rsidR="00B77208" w:rsidRPr="009A435E" w:rsidRDefault="00B77208" w:rsidP="00B77208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 xml:space="preserve">Invalidation (ou validation si </w:t>
            </w:r>
            <w:r w:rsidR="00FB35D0">
              <w:rPr>
                <w:b/>
                <w:bCs/>
                <w:sz w:val="20"/>
                <w:szCs w:val="20"/>
              </w:rPr>
              <w:t xml:space="preserve">l’élève indique qu’il a trouvé </w:t>
            </w:r>
            <w:r w:rsidR="00FB35D0" w:rsidRPr="00FB35D0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00FB35D0">
              <w:rPr>
                <w:b/>
                <w:bCs/>
                <w:sz w:val="20"/>
                <w:szCs w:val="20"/>
                <w:vertAlign w:val="subscript"/>
              </w:rPr>
              <w:t>m</w:t>
            </w:r>
            <w:r w:rsidRPr="009A435E">
              <w:rPr>
                <w:b/>
                <w:bCs/>
                <w:sz w:val="20"/>
                <w:szCs w:val="20"/>
              </w:rPr>
              <w:t xml:space="preserve"> </w:t>
            </w:r>
            <w:r w:rsidR="00FB35D0">
              <w:rPr>
                <w:b/>
                <w:bCs/>
                <w:sz w:val="20"/>
                <w:szCs w:val="20"/>
              </w:rPr>
              <w:t xml:space="preserve">= </w:t>
            </w:r>
            <w:r w:rsidRPr="009A435E">
              <w:rPr>
                <w:b/>
                <w:bCs/>
                <w:sz w:val="20"/>
                <w:szCs w:val="20"/>
              </w:rPr>
              <w:t>1,</w:t>
            </w:r>
            <w:r w:rsidR="00FB35D0">
              <w:rPr>
                <w:b/>
                <w:bCs/>
                <w:sz w:val="20"/>
                <w:szCs w:val="20"/>
              </w:rPr>
              <w:t>1 x 10</w:t>
            </w:r>
            <w:r w:rsidR="00FB35D0">
              <w:rPr>
                <w:b/>
                <w:bCs/>
                <w:sz w:val="20"/>
                <w:szCs w:val="20"/>
                <w:vertAlign w:val="superscript"/>
              </w:rPr>
              <w:t>-2</w:t>
            </w:r>
            <w:r w:rsidRPr="009A435E">
              <w:rPr>
                <w:b/>
                <w:b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g.L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Pr="009A435E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14:paraId="5D2D48EA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</w:tr>
      <w:tr w:rsidR="00B77208" w:rsidRPr="009A435E" w14:paraId="649664B5" w14:textId="77777777" w:rsidTr="00E96240">
        <w:trPr>
          <w:trHeight w:val="1071"/>
        </w:trPr>
        <w:tc>
          <w:tcPr>
            <w:tcW w:w="2122" w:type="dxa"/>
          </w:tcPr>
          <w:p w14:paraId="6909695A" w14:textId="39BAA810" w:rsidR="001932A8" w:rsidRPr="009A435E" w:rsidRDefault="001932A8" w:rsidP="00913322">
            <w:pPr>
              <w:rPr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Exercice 2</w:t>
            </w:r>
            <w:r w:rsidR="00BD6C0F" w:rsidRPr="009A435E">
              <w:rPr>
                <w:b/>
                <w:bCs/>
                <w:sz w:val="20"/>
                <w:szCs w:val="20"/>
              </w:rPr>
              <w:t> </w:t>
            </w:r>
            <w:r w:rsidRPr="009A435E">
              <w:rPr>
                <w:b/>
                <w:bCs/>
                <w:sz w:val="20"/>
                <w:szCs w:val="20"/>
              </w:rPr>
              <w:t xml:space="preserve">: </w:t>
            </w:r>
            <w:r w:rsidR="00913322">
              <w:rPr>
                <w:b/>
                <w:bCs/>
                <w:sz w:val="20"/>
                <w:szCs w:val="20"/>
              </w:rPr>
              <w:br/>
            </w:r>
            <w:r w:rsidR="00BD6C0F" w:rsidRPr="009A435E">
              <w:rPr>
                <w:sz w:val="20"/>
                <w:szCs w:val="20"/>
              </w:rPr>
              <w:t>Q1 : Le soluté est le saccharose, car c’est le composé dissous.</w:t>
            </w:r>
          </w:p>
        </w:tc>
        <w:tc>
          <w:tcPr>
            <w:tcW w:w="2126" w:type="dxa"/>
          </w:tcPr>
          <w:p w14:paraId="291B98AF" w14:textId="061C0A8D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D3623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D297E8" w14:textId="6F63F8D0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A8C27" w14:textId="76C0F592" w:rsidR="00B77208" w:rsidRPr="009A435E" w:rsidRDefault="00BD6C0F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Utilisation du nom scientifique</w:t>
            </w:r>
          </w:p>
        </w:tc>
        <w:tc>
          <w:tcPr>
            <w:tcW w:w="1134" w:type="dxa"/>
          </w:tcPr>
          <w:p w14:paraId="5E7F8B15" w14:textId="77777777" w:rsidR="00B77208" w:rsidRPr="009A435E" w:rsidRDefault="00B77208" w:rsidP="00B772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5E079971" w14:textId="7C7C66C0" w:rsidR="00B77208" w:rsidRPr="009A435E" w:rsidRDefault="00BD6C0F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La notion de soluté est connue</w:t>
            </w:r>
          </w:p>
        </w:tc>
      </w:tr>
      <w:tr w:rsidR="0006012C" w:rsidRPr="009A435E" w14:paraId="0A373C45" w14:textId="77777777" w:rsidTr="00E96240">
        <w:trPr>
          <w:trHeight w:val="537"/>
        </w:trPr>
        <w:tc>
          <w:tcPr>
            <w:tcW w:w="2122" w:type="dxa"/>
          </w:tcPr>
          <w:p w14:paraId="78A259BA" w14:textId="769B89FF" w:rsidR="0006012C" w:rsidRPr="009A435E" w:rsidRDefault="0006012C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 xml:space="preserve">Q2 : </w:t>
            </w:r>
            <w:r w:rsidRPr="00145C3B">
              <w:rPr>
                <w:i/>
                <w:iCs/>
                <w:sz w:val="20"/>
                <w:szCs w:val="20"/>
              </w:rPr>
              <w:t>C</w:t>
            </w:r>
            <w:r w:rsidRPr="009A435E">
              <w:rPr>
                <w:sz w:val="20"/>
                <w:szCs w:val="20"/>
                <w:vertAlign w:val="subscript"/>
              </w:rPr>
              <w:t>m</w:t>
            </w:r>
            <w:r w:rsidRPr="009A435E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Soluté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Solution</m:t>
                      </m:r>
                    </m:sub>
                  </m:sSub>
                </m:den>
              </m:f>
            </m:oMath>
          </w:p>
        </w:tc>
        <w:tc>
          <w:tcPr>
            <w:tcW w:w="2126" w:type="dxa"/>
          </w:tcPr>
          <w:p w14:paraId="07593CF2" w14:textId="47D89BCF" w:rsidR="0006012C" w:rsidRPr="009A435E" w:rsidRDefault="0006012C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83B382" w14:textId="5BDE27BE" w:rsidR="0006012C" w:rsidRPr="009A435E" w:rsidRDefault="0006012C" w:rsidP="00B77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D61991" w14:textId="77777777" w:rsidR="0006012C" w:rsidRPr="009A435E" w:rsidRDefault="0006012C" w:rsidP="00B772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FC191" w14:textId="77777777" w:rsidR="0006012C" w:rsidRPr="009A435E" w:rsidRDefault="0006012C" w:rsidP="00B7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1B51D" w14:textId="77777777" w:rsidR="0006012C" w:rsidRPr="009A435E" w:rsidRDefault="0006012C" w:rsidP="00B772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91DE06A" w14:textId="64E54915" w:rsidR="0006012C" w:rsidRPr="009A435E" w:rsidRDefault="0006012C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La relation est connue</w:t>
            </w:r>
          </w:p>
        </w:tc>
      </w:tr>
      <w:tr w:rsidR="00274414" w:rsidRPr="009A435E" w14:paraId="4C155DE9" w14:textId="77777777" w:rsidTr="00E96240">
        <w:trPr>
          <w:trHeight w:val="945"/>
        </w:trPr>
        <w:tc>
          <w:tcPr>
            <w:tcW w:w="2122" w:type="dxa"/>
            <w:vMerge w:val="restart"/>
          </w:tcPr>
          <w:p w14:paraId="0959A671" w14:textId="693A36EB" w:rsidR="00274414" w:rsidRPr="009A435E" w:rsidRDefault="00274414" w:rsidP="00B77208">
            <w:pPr>
              <w:rPr>
                <w:sz w:val="20"/>
                <w:szCs w:val="20"/>
                <w:vertAlign w:val="subscript"/>
              </w:rPr>
            </w:pPr>
            <w:r w:rsidRPr="009A435E">
              <w:rPr>
                <w:sz w:val="20"/>
                <w:szCs w:val="20"/>
              </w:rPr>
              <w:t xml:space="preserve">Q3 : Isolons : </w:t>
            </w:r>
            <w:r w:rsidRPr="009A435E">
              <w:rPr>
                <w:sz w:val="20"/>
                <w:szCs w:val="20"/>
              </w:rPr>
              <w:br/>
              <w:t>m</w:t>
            </w:r>
            <w:r w:rsidRPr="009A435E">
              <w:rPr>
                <w:sz w:val="20"/>
                <w:szCs w:val="20"/>
                <w:vertAlign w:val="subscript"/>
              </w:rPr>
              <w:t>Soluté</w:t>
            </w:r>
            <w:r w:rsidRPr="009A435E">
              <w:rPr>
                <w:sz w:val="20"/>
                <w:szCs w:val="20"/>
              </w:rPr>
              <w:t xml:space="preserve"> = </w:t>
            </w:r>
            <w:r w:rsidRPr="00145C3B">
              <w:rPr>
                <w:i/>
                <w:iCs/>
                <w:sz w:val="20"/>
                <w:szCs w:val="20"/>
              </w:rPr>
              <w:t>C</w:t>
            </w:r>
            <w:r w:rsidRPr="009A435E">
              <w:rPr>
                <w:sz w:val="20"/>
                <w:szCs w:val="20"/>
                <w:vertAlign w:val="subscript"/>
              </w:rPr>
              <w:t>m</w:t>
            </w:r>
            <w:r w:rsidRPr="009A435E">
              <w:rPr>
                <w:sz w:val="20"/>
                <w:szCs w:val="20"/>
              </w:rPr>
              <w:t xml:space="preserve"> x </w:t>
            </w:r>
            <w:r w:rsidRPr="00145C3B">
              <w:rPr>
                <w:i/>
                <w:iCs/>
                <w:sz w:val="20"/>
                <w:szCs w:val="20"/>
              </w:rPr>
              <w:t>V</w:t>
            </w:r>
            <w:r w:rsidRPr="009A435E">
              <w:rPr>
                <w:sz w:val="20"/>
                <w:szCs w:val="20"/>
                <w:vertAlign w:val="subscript"/>
              </w:rPr>
              <w:t>Solution</w:t>
            </w:r>
          </w:p>
          <w:p w14:paraId="2B610F97" w14:textId="3555324E" w:rsidR="00274414" w:rsidRPr="009A435E" w:rsidRDefault="00274414" w:rsidP="00971139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Calculons : m</w:t>
            </w:r>
            <w:r w:rsidRPr="009A435E">
              <w:rPr>
                <w:sz w:val="20"/>
                <w:szCs w:val="20"/>
                <w:vertAlign w:val="subscript"/>
              </w:rPr>
              <w:t>Soluté</w:t>
            </w:r>
            <w:r w:rsidRPr="009A435E">
              <w:rPr>
                <w:sz w:val="20"/>
                <w:szCs w:val="20"/>
              </w:rPr>
              <w:t xml:space="preserve"> = 90</w:t>
            </w:r>
            <w:r w:rsidR="00E96240">
              <w:rPr>
                <w:sz w:val="20"/>
                <w:szCs w:val="20"/>
              </w:rPr>
              <w:t xml:space="preserve"> g.L</w:t>
            </w:r>
            <w:r w:rsidR="00E96240" w:rsidRPr="00E96240">
              <w:rPr>
                <w:sz w:val="20"/>
                <w:szCs w:val="20"/>
                <w:vertAlign w:val="superscript"/>
              </w:rPr>
              <w:t>-1</w:t>
            </w:r>
            <w:r w:rsidRPr="009A435E">
              <w:rPr>
                <w:sz w:val="20"/>
                <w:szCs w:val="20"/>
              </w:rPr>
              <w:t xml:space="preserve"> x 0,200</w:t>
            </w:r>
            <w:r w:rsidR="00E96240">
              <w:rPr>
                <w:sz w:val="20"/>
                <w:szCs w:val="20"/>
              </w:rPr>
              <w:t xml:space="preserve"> L</w:t>
            </w:r>
            <w:r w:rsidRPr="009A435E">
              <w:rPr>
                <w:sz w:val="20"/>
                <w:szCs w:val="20"/>
              </w:rPr>
              <w:t xml:space="preserve"> = 18 g</w:t>
            </w:r>
          </w:p>
        </w:tc>
        <w:tc>
          <w:tcPr>
            <w:tcW w:w="2126" w:type="dxa"/>
            <w:vMerge w:val="restart"/>
          </w:tcPr>
          <w:p w14:paraId="459FCE4D" w14:textId="310F704A" w:rsidR="00274414" w:rsidRPr="009A435E" w:rsidRDefault="00274414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Les valeurs de la concentration en masse et du volume de solution sont bien utilisées.</w:t>
            </w:r>
          </w:p>
        </w:tc>
        <w:tc>
          <w:tcPr>
            <w:tcW w:w="1276" w:type="dxa"/>
            <w:vMerge w:val="restart"/>
          </w:tcPr>
          <w:p w14:paraId="1EBA2D87" w14:textId="7A99127A" w:rsidR="00274414" w:rsidRPr="009A435E" w:rsidRDefault="00274414" w:rsidP="00B77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714771" w14:textId="0B4B69AB" w:rsidR="00274414" w:rsidRPr="009A435E" w:rsidRDefault="00274414" w:rsidP="00B77208">
            <w:pPr>
              <w:rPr>
                <w:b/>
                <w:bCs/>
                <w:sz w:val="20"/>
                <w:szCs w:val="20"/>
              </w:rPr>
            </w:pPr>
            <w:r w:rsidRPr="00145C3B">
              <w:rPr>
                <w:b/>
                <w:bCs/>
                <w:i/>
                <w:iCs/>
                <w:sz w:val="20"/>
                <w:szCs w:val="20"/>
              </w:rPr>
              <w:t>m</w:t>
            </w:r>
            <w:r w:rsidRPr="009A435E">
              <w:rPr>
                <w:b/>
                <w:bCs/>
                <w:sz w:val="20"/>
                <w:szCs w:val="20"/>
                <w:vertAlign w:val="subscript"/>
              </w:rPr>
              <w:t xml:space="preserve">Soluté </w:t>
            </w:r>
            <w:r w:rsidRPr="009A435E">
              <w:rPr>
                <w:b/>
                <w:bCs/>
                <w:sz w:val="20"/>
                <w:szCs w:val="20"/>
              </w:rPr>
              <w:t>est correctement isolé</w:t>
            </w:r>
          </w:p>
        </w:tc>
        <w:tc>
          <w:tcPr>
            <w:tcW w:w="1276" w:type="dxa"/>
            <w:vMerge w:val="restart"/>
          </w:tcPr>
          <w:p w14:paraId="7FCEAB1D" w14:textId="77777777" w:rsidR="00274414" w:rsidRPr="009A435E" w:rsidRDefault="00274414" w:rsidP="00B77208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Présence de la bonne unité du résultat</w:t>
            </w:r>
          </w:p>
        </w:tc>
        <w:tc>
          <w:tcPr>
            <w:tcW w:w="1134" w:type="dxa"/>
            <w:vMerge w:val="restart"/>
          </w:tcPr>
          <w:p w14:paraId="36877B69" w14:textId="77777777" w:rsidR="00274414" w:rsidRPr="009A435E" w:rsidRDefault="00274414" w:rsidP="00B7720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06963900" w14:textId="17DFD9C8" w:rsidR="00274414" w:rsidRPr="009A435E" w:rsidRDefault="00274414" w:rsidP="00B77208">
            <w:pPr>
              <w:rPr>
                <w:sz w:val="20"/>
                <w:szCs w:val="20"/>
              </w:rPr>
            </w:pPr>
          </w:p>
        </w:tc>
      </w:tr>
      <w:tr w:rsidR="00274414" w:rsidRPr="009A435E" w14:paraId="135D62F1" w14:textId="77777777" w:rsidTr="00E96240">
        <w:trPr>
          <w:trHeight w:val="1457"/>
        </w:trPr>
        <w:tc>
          <w:tcPr>
            <w:tcW w:w="2122" w:type="dxa"/>
            <w:vMerge/>
          </w:tcPr>
          <w:p w14:paraId="1C480C87" w14:textId="77777777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155BE8" w14:textId="77777777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7383FC" w14:textId="5D66C256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9B36EF" w14:textId="0EC13437" w:rsidR="00274414" w:rsidRPr="009A435E" w:rsidRDefault="00274414" w:rsidP="00B710E0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Conversion des mL en L  et calcul bien effectué</w:t>
            </w:r>
          </w:p>
        </w:tc>
        <w:tc>
          <w:tcPr>
            <w:tcW w:w="1276" w:type="dxa"/>
            <w:vMerge/>
          </w:tcPr>
          <w:p w14:paraId="7C97473C" w14:textId="77777777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94D5E3" w14:textId="77777777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2DE4081" w14:textId="77777777" w:rsidR="00274414" w:rsidRPr="009A435E" w:rsidRDefault="00274414" w:rsidP="00B710E0">
            <w:pPr>
              <w:rPr>
                <w:sz w:val="20"/>
                <w:szCs w:val="20"/>
              </w:rPr>
            </w:pPr>
          </w:p>
        </w:tc>
      </w:tr>
      <w:tr w:rsidR="00274414" w:rsidRPr="009A435E" w14:paraId="033B4BF5" w14:textId="77777777" w:rsidTr="00E96240">
        <w:trPr>
          <w:trHeight w:val="298"/>
        </w:trPr>
        <w:tc>
          <w:tcPr>
            <w:tcW w:w="2122" w:type="dxa"/>
          </w:tcPr>
          <w:p w14:paraId="1F43E586" w14:textId="224AE232" w:rsidR="00274414" w:rsidRPr="009A435E" w:rsidRDefault="00274414" w:rsidP="00B710E0">
            <w:pPr>
              <w:rPr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 xml:space="preserve">Q4 : Mesurer 18 g de saccharose sur une balance à l’aide d’une coupelle de pesée, </w:t>
            </w:r>
            <w:r w:rsidR="005B3454" w:rsidRPr="009A435E">
              <w:rPr>
                <w:sz w:val="20"/>
                <w:szCs w:val="20"/>
              </w:rPr>
              <w:t>puis</w:t>
            </w:r>
            <w:r w:rsidRPr="009A435E">
              <w:rPr>
                <w:sz w:val="20"/>
                <w:szCs w:val="20"/>
              </w:rPr>
              <w:t xml:space="preserve"> avec un entonnoir, les verser dans une fiole jaugée de 200 mL. </w:t>
            </w:r>
            <w:r w:rsidR="00E649FC">
              <w:rPr>
                <w:sz w:val="20"/>
                <w:szCs w:val="20"/>
              </w:rPr>
              <w:t>Ajouter de l’</w:t>
            </w:r>
            <w:r w:rsidRPr="009A435E">
              <w:rPr>
                <w:sz w:val="20"/>
                <w:szCs w:val="20"/>
              </w:rPr>
              <w:t>eau distillée</w:t>
            </w:r>
            <w:r w:rsidR="00E649FC">
              <w:rPr>
                <w:sz w:val="20"/>
                <w:szCs w:val="20"/>
              </w:rPr>
              <w:t xml:space="preserve"> au 2/3</w:t>
            </w:r>
            <w:r w:rsidRPr="009A435E">
              <w:rPr>
                <w:sz w:val="20"/>
                <w:szCs w:val="20"/>
              </w:rPr>
              <w:t>, agiter jusqu’à dissolution totale du soluté, compléter au trait de jauge, et homogénéiser.</w:t>
            </w:r>
          </w:p>
        </w:tc>
        <w:tc>
          <w:tcPr>
            <w:tcW w:w="2126" w:type="dxa"/>
          </w:tcPr>
          <w:p w14:paraId="0AC90FDD" w14:textId="77777777" w:rsidR="00274414" w:rsidRPr="009A435E" w:rsidRDefault="00274414" w:rsidP="00B710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23E04" w14:textId="218566A7" w:rsidR="00274414" w:rsidRPr="009A435E" w:rsidRDefault="006071A2" w:rsidP="00CE395A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Le protocole est juste, présenté dans l’ordre, et comprend les valeurs de masse et de volume adéquates.</w:t>
            </w:r>
          </w:p>
        </w:tc>
        <w:tc>
          <w:tcPr>
            <w:tcW w:w="1275" w:type="dxa"/>
          </w:tcPr>
          <w:p w14:paraId="5FC20A26" w14:textId="77777777" w:rsidR="00274414" w:rsidRPr="009A435E" w:rsidRDefault="00274414" w:rsidP="00B710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C46D2" w14:textId="60AAF629" w:rsidR="00274414" w:rsidRPr="009A435E" w:rsidRDefault="00CE395A" w:rsidP="00CE395A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sz w:val="20"/>
                <w:szCs w:val="20"/>
              </w:rPr>
              <w:t>Le matériel utilisé est correctement nommé.</w:t>
            </w:r>
          </w:p>
        </w:tc>
        <w:tc>
          <w:tcPr>
            <w:tcW w:w="1134" w:type="dxa"/>
          </w:tcPr>
          <w:p w14:paraId="1C05B92A" w14:textId="77777777" w:rsidR="00274414" w:rsidRPr="009A435E" w:rsidRDefault="00274414" w:rsidP="00B710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229D2FB1" w14:textId="50F84CE6" w:rsidR="00274414" w:rsidRPr="009A435E" w:rsidRDefault="00274414" w:rsidP="00B710E0">
            <w:pPr>
              <w:jc w:val="center"/>
              <w:rPr>
                <w:sz w:val="20"/>
                <w:szCs w:val="20"/>
              </w:rPr>
            </w:pPr>
          </w:p>
        </w:tc>
      </w:tr>
      <w:tr w:rsidR="00B710E0" w:rsidRPr="009A435E" w14:paraId="6BBF17E8" w14:textId="77777777" w:rsidTr="00927360">
        <w:trPr>
          <w:trHeight w:val="298"/>
        </w:trPr>
        <w:tc>
          <w:tcPr>
            <w:tcW w:w="2122" w:type="dxa"/>
          </w:tcPr>
          <w:p w14:paraId="00A9755F" w14:textId="04F95D0B" w:rsidR="00B710E0" w:rsidRPr="009A435E" w:rsidRDefault="00B710E0" w:rsidP="00B710E0">
            <w:pPr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Points</w:t>
            </w:r>
            <w:r w:rsidR="00F3583A">
              <w:rPr>
                <w:b/>
                <w:bCs/>
                <w:sz w:val="20"/>
                <w:szCs w:val="20"/>
              </w:rPr>
              <w:t xml:space="preserve"> : </w:t>
            </w:r>
            <w:r w:rsidR="00F3583A" w:rsidRPr="009025E8">
              <w:rPr>
                <w:sz w:val="20"/>
                <w:szCs w:val="20"/>
              </w:rPr>
              <w:t xml:space="preserve">1 point pour </w:t>
            </w:r>
            <w:r w:rsidR="009025E8" w:rsidRPr="009025E8">
              <w:rPr>
                <w:sz w:val="20"/>
                <w:szCs w:val="20"/>
              </w:rPr>
              <w:t>chaque élément de réponse,</w:t>
            </w:r>
            <w:r w:rsidR="009025E8">
              <w:rPr>
                <w:b/>
                <w:bCs/>
                <w:sz w:val="20"/>
                <w:szCs w:val="20"/>
              </w:rPr>
              <w:t xml:space="preserve"> sauf</w:t>
            </w:r>
            <w:r w:rsidR="00F3583A">
              <w:rPr>
                <w:b/>
                <w:bCs/>
                <w:sz w:val="20"/>
                <w:szCs w:val="20"/>
              </w:rPr>
              <w:t xml:space="preserve"> pour </w:t>
            </w:r>
            <w:r w:rsidR="006949EA">
              <w:rPr>
                <w:b/>
                <w:bCs/>
                <w:sz w:val="20"/>
                <w:szCs w:val="20"/>
              </w:rPr>
              <w:t>les ceux</w:t>
            </w:r>
            <w:r w:rsidR="00F3583A">
              <w:rPr>
                <w:b/>
                <w:bCs/>
                <w:sz w:val="20"/>
                <w:szCs w:val="20"/>
              </w:rPr>
              <w:t xml:space="preserve"> noté</w:t>
            </w:r>
            <w:r w:rsidR="009025E8">
              <w:rPr>
                <w:b/>
                <w:bCs/>
                <w:sz w:val="20"/>
                <w:szCs w:val="20"/>
              </w:rPr>
              <w:t>s</w:t>
            </w:r>
            <w:r w:rsidR="00F3583A">
              <w:rPr>
                <w:b/>
                <w:bCs/>
                <w:sz w:val="20"/>
                <w:szCs w:val="20"/>
              </w:rPr>
              <w:t xml:space="preserve"> en gras</w:t>
            </w:r>
            <w:r w:rsidR="009025E8">
              <w:rPr>
                <w:b/>
                <w:bCs/>
                <w:sz w:val="20"/>
                <w:szCs w:val="20"/>
              </w:rPr>
              <w:t xml:space="preserve"> qui valent 2 points</w:t>
            </w:r>
          </w:p>
        </w:tc>
        <w:tc>
          <w:tcPr>
            <w:tcW w:w="2126" w:type="dxa"/>
            <w:vAlign w:val="center"/>
          </w:tcPr>
          <w:p w14:paraId="00086B5F" w14:textId="6E703CB4" w:rsidR="00B710E0" w:rsidRPr="009A435E" w:rsidRDefault="002404D0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E0BD548" w14:textId="3B1E0E2C" w:rsidR="00B710E0" w:rsidRPr="009A435E" w:rsidRDefault="00CE395A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7021239" w14:textId="0B128FC5" w:rsidR="00B710E0" w:rsidRPr="009A435E" w:rsidRDefault="00CE395A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581C09D" w14:textId="543CD0F4" w:rsidR="00B710E0" w:rsidRPr="009A435E" w:rsidRDefault="00CE395A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DC731D0" w14:textId="3C28F037" w:rsidR="00B710E0" w:rsidRPr="009A435E" w:rsidRDefault="00CE395A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14:paraId="2DCEA5E5" w14:textId="18045B6E" w:rsidR="00B710E0" w:rsidRPr="009A435E" w:rsidRDefault="00CE395A" w:rsidP="00927360">
            <w:pPr>
              <w:jc w:val="center"/>
              <w:rPr>
                <w:b/>
                <w:bCs/>
                <w:sz w:val="20"/>
                <w:szCs w:val="20"/>
              </w:rPr>
            </w:pPr>
            <w:r w:rsidRPr="009A435E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18365FE1" w14:textId="77777777" w:rsidR="002F2925" w:rsidRPr="009A435E" w:rsidRDefault="002F2925" w:rsidP="00220CB5">
      <w:pPr>
        <w:rPr>
          <w:sz w:val="20"/>
          <w:szCs w:val="20"/>
        </w:rPr>
      </w:pPr>
    </w:p>
    <w:sectPr w:rsidR="002F2925" w:rsidRPr="009A435E" w:rsidSect="009D46F4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DC89" w14:textId="77777777" w:rsidR="00184444" w:rsidRDefault="00184444" w:rsidP="00A72B94">
      <w:pPr>
        <w:spacing w:after="0" w:line="240" w:lineRule="auto"/>
      </w:pPr>
      <w:r>
        <w:separator/>
      </w:r>
    </w:p>
  </w:endnote>
  <w:endnote w:type="continuationSeparator" w:id="0">
    <w:p w14:paraId="4F56E6F2" w14:textId="77777777" w:rsidR="00184444" w:rsidRDefault="00184444" w:rsidP="00A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88F5" w14:textId="77777777" w:rsidR="006949EA" w:rsidRDefault="006949EA" w:rsidP="006949EA">
    <w:pPr>
      <w:pStyle w:val="Pieddepage"/>
      <w:jc w:val="both"/>
    </w:pPr>
    <w:r>
      <w:t>_____________________________________________________________________________________________</w:t>
    </w:r>
  </w:p>
  <w:p w14:paraId="609F3792" w14:textId="1A3E43FE" w:rsidR="006949EA" w:rsidRPr="006949EA" w:rsidRDefault="006949EA" w:rsidP="006949EA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>
      <w:rPr>
        <w:rFonts w:ascii="Arial" w:hAnsi="Arial" w:cs="Arial"/>
        <w:sz w:val="16"/>
        <w:szCs w:val="16"/>
      </w:rPr>
      <w:t xml:space="preserve">Spécialité Physique-Chimie de la voie générale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5F4F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39BA" w14:textId="77777777" w:rsidR="00184444" w:rsidRDefault="00184444" w:rsidP="00A72B94">
      <w:pPr>
        <w:spacing w:after="0" w:line="240" w:lineRule="auto"/>
      </w:pPr>
      <w:r>
        <w:separator/>
      </w:r>
    </w:p>
  </w:footnote>
  <w:footnote w:type="continuationSeparator" w:id="0">
    <w:p w14:paraId="289CE32C" w14:textId="77777777" w:rsidR="00184444" w:rsidRDefault="00184444" w:rsidP="00A7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9C3"/>
    <w:multiLevelType w:val="hybridMultilevel"/>
    <w:tmpl w:val="841A62AE"/>
    <w:lvl w:ilvl="0" w:tplc="ABF2F99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606BD3"/>
    <w:multiLevelType w:val="hybridMultilevel"/>
    <w:tmpl w:val="48C0744C"/>
    <w:lvl w:ilvl="0" w:tplc="B0925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30899">
    <w:abstractNumId w:val="0"/>
  </w:num>
  <w:num w:numId="2" w16cid:durableId="706683295">
    <w:abstractNumId w:val="2"/>
  </w:num>
  <w:num w:numId="3" w16cid:durableId="202154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05"/>
    <w:rsid w:val="00002289"/>
    <w:rsid w:val="00030350"/>
    <w:rsid w:val="0003799C"/>
    <w:rsid w:val="0006012C"/>
    <w:rsid w:val="00063114"/>
    <w:rsid w:val="0006460E"/>
    <w:rsid w:val="000C1312"/>
    <w:rsid w:val="000C78CD"/>
    <w:rsid w:val="0010620B"/>
    <w:rsid w:val="001169BD"/>
    <w:rsid w:val="00117184"/>
    <w:rsid w:val="00145C3B"/>
    <w:rsid w:val="00184444"/>
    <w:rsid w:val="001932A8"/>
    <w:rsid w:val="001B5703"/>
    <w:rsid w:val="00220CB5"/>
    <w:rsid w:val="0022508E"/>
    <w:rsid w:val="002404D0"/>
    <w:rsid w:val="00274414"/>
    <w:rsid w:val="002973FC"/>
    <w:rsid w:val="002F0EFB"/>
    <w:rsid w:val="002F2925"/>
    <w:rsid w:val="00367F80"/>
    <w:rsid w:val="003A5AF7"/>
    <w:rsid w:val="003F580A"/>
    <w:rsid w:val="004030C5"/>
    <w:rsid w:val="00415D32"/>
    <w:rsid w:val="00441829"/>
    <w:rsid w:val="004F4D10"/>
    <w:rsid w:val="00523DAA"/>
    <w:rsid w:val="00541282"/>
    <w:rsid w:val="005B2123"/>
    <w:rsid w:val="005B3454"/>
    <w:rsid w:val="005E1680"/>
    <w:rsid w:val="006071A2"/>
    <w:rsid w:val="006102D9"/>
    <w:rsid w:val="00634444"/>
    <w:rsid w:val="0064052C"/>
    <w:rsid w:val="006915B5"/>
    <w:rsid w:val="006949EA"/>
    <w:rsid w:val="006B7A72"/>
    <w:rsid w:val="0085173C"/>
    <w:rsid w:val="008B314C"/>
    <w:rsid w:val="008D5FB9"/>
    <w:rsid w:val="009025E8"/>
    <w:rsid w:val="00913322"/>
    <w:rsid w:val="00927360"/>
    <w:rsid w:val="00971139"/>
    <w:rsid w:val="00990EEA"/>
    <w:rsid w:val="009A435E"/>
    <w:rsid w:val="009B7B05"/>
    <w:rsid w:val="009D109A"/>
    <w:rsid w:val="009D46F4"/>
    <w:rsid w:val="00A55200"/>
    <w:rsid w:val="00A72B94"/>
    <w:rsid w:val="00B57A2B"/>
    <w:rsid w:val="00B66023"/>
    <w:rsid w:val="00B710E0"/>
    <w:rsid w:val="00B77208"/>
    <w:rsid w:val="00BD6C0F"/>
    <w:rsid w:val="00CE395A"/>
    <w:rsid w:val="00D1262A"/>
    <w:rsid w:val="00E47BD5"/>
    <w:rsid w:val="00E649FC"/>
    <w:rsid w:val="00E96240"/>
    <w:rsid w:val="00EC4D97"/>
    <w:rsid w:val="00F3583A"/>
    <w:rsid w:val="00FB35D0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5D72"/>
  <w15:chartTrackingRefBased/>
  <w15:docId w15:val="{8402AB00-21F3-41FE-8776-7AD9EAB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B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B94"/>
  </w:style>
  <w:style w:type="paragraph" w:styleId="Pieddepage">
    <w:name w:val="footer"/>
    <w:basedOn w:val="Normal"/>
    <w:link w:val="PieddepageCar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72B94"/>
  </w:style>
  <w:style w:type="table" w:styleId="Grilledutableau">
    <w:name w:val="Table Grid"/>
    <w:basedOn w:val="TableauNormal"/>
    <w:uiPriority w:val="39"/>
    <w:rsid w:val="009D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02D9"/>
    <w:rPr>
      <w:color w:val="808080"/>
    </w:rPr>
  </w:style>
  <w:style w:type="paragraph" w:customStyle="1" w:styleId="Studys">
    <w:name w:val="Studys"/>
    <w:basedOn w:val="Normal"/>
    <w:link w:val="StudysCar"/>
    <w:qFormat/>
    <w:rsid w:val="0010620B"/>
    <w:pPr>
      <w:framePr w:hSpace="141" w:wrap="around" w:vAnchor="text" w:hAnchor="margin" w:xAlign="center" w:y="199"/>
      <w:spacing w:after="0" w:line="480" w:lineRule="auto"/>
    </w:pPr>
    <w:rPr>
      <w:rFonts w:ascii="Arial" w:hAnsi="Arial" w:cs="Arial"/>
      <w:b/>
      <w:noProof/>
      <w:color w:val="000000"/>
      <w:sz w:val="40"/>
      <w:szCs w:val="20"/>
      <w:u w:val="single"/>
      <w:lang w:eastAsia="fr-FR"/>
    </w:rPr>
  </w:style>
  <w:style w:type="character" w:customStyle="1" w:styleId="StudysCar">
    <w:name w:val="Studys Car"/>
    <w:basedOn w:val="Policepardfaut"/>
    <w:link w:val="Studys"/>
    <w:rsid w:val="0010620B"/>
    <w:rPr>
      <w:rFonts w:ascii="Arial" w:hAnsi="Arial" w:cs="Arial"/>
      <w:b/>
      <w:noProof/>
      <w:color w:val="000000"/>
      <w:sz w:val="40"/>
      <w:szCs w:val="20"/>
      <w:u w:val="single"/>
      <w:lang w:eastAsia="fr-FR"/>
    </w:rPr>
  </w:style>
  <w:style w:type="paragraph" w:customStyle="1" w:styleId="En-ttediscipline">
    <w:name w:val="En-tête_discipline"/>
    <w:basedOn w:val="Normal"/>
    <w:next w:val="Normal"/>
    <w:uiPriority w:val="99"/>
    <w:rsid w:val="006949EA"/>
    <w:pPr>
      <w:spacing w:before="500" w:after="360" w:line="240" w:lineRule="auto"/>
      <w:jc w:val="right"/>
    </w:pPr>
    <w:rPr>
      <w:rFonts w:ascii="Century Gothic" w:eastAsia="Times New Roman" w:hAnsi="Century Gothic" w:cs="Times New Roman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6949EA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 w:cs="Times New Roman"/>
      <w:noProof/>
      <w:color w:val="3229A7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Grimm</dc:creator>
  <cp:keywords/>
  <dc:description/>
  <cp:lastModifiedBy>Christophe WEISSROCK</cp:lastModifiedBy>
  <cp:revision>37</cp:revision>
  <cp:lastPrinted>2022-11-30T13:34:00Z</cp:lastPrinted>
  <dcterms:created xsi:type="dcterms:W3CDTF">2022-06-12T18:02:00Z</dcterms:created>
  <dcterms:modified xsi:type="dcterms:W3CDTF">2022-12-09T16:25:00Z</dcterms:modified>
</cp:coreProperties>
</file>