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CE" w:rsidRDefault="00E07B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Fabrication d’une jauge de contrôle</w:t>
      </w:r>
    </w:p>
    <w:p w:rsidR="00B51B71" w:rsidRDefault="00B51B71">
      <w:pPr>
        <w:jc w:val="center"/>
        <w:rPr>
          <w:b/>
        </w:rPr>
      </w:pPr>
    </w:p>
    <w:p w:rsidR="001824CE" w:rsidRDefault="005A11EA">
      <w:pPr>
        <w:spacing w:after="240" w:line="240" w:lineRule="auto"/>
      </w:pPr>
      <w:r w:rsidRPr="005A11EA">
        <w:t>Titre de la séance :</w:t>
      </w:r>
      <w:r>
        <w:rPr>
          <w:b/>
        </w:rPr>
        <w:t xml:space="preserve"> </w:t>
      </w:r>
      <w:r w:rsidR="00AD40E0">
        <w:rPr>
          <w:b/>
        </w:rPr>
        <w:t>Modéliser une situation pour effectuer une intervention de contrôle.</w:t>
      </w:r>
    </w:p>
    <w:p w:rsidR="000B342F" w:rsidRPr="003158A9" w:rsidRDefault="000B342F" w:rsidP="000B342F">
      <w:pPr>
        <w:spacing w:after="0"/>
        <w:rPr>
          <w:b/>
        </w:rPr>
      </w:pPr>
      <w:r>
        <w:t>Thématique Principale :</w:t>
      </w:r>
      <w:r w:rsidR="00AD40E0">
        <w:t xml:space="preserve"> </w:t>
      </w:r>
      <w:sdt>
        <w:sdtPr>
          <w:rPr>
            <w:b/>
          </w:rPr>
          <w:id w:val="887455975"/>
          <w:dropDownList>
            <w:listItem w:displayText="Choisissez un élément." w:value="Choisissez un élément."/>
            <w:listItem w:displayText="Statistiques et Probabilités" w:value="Statistiques et Probabilités"/>
            <w:listItem w:displayText="Algèbre - Analyse" w:value="Algèbre - Analyse"/>
            <w:listItem w:displayText="Géométrie" w:value="Géométrie"/>
          </w:dropDownList>
        </w:sdtPr>
        <w:sdtEndPr/>
        <w:sdtContent>
          <w:r w:rsidRPr="003158A9">
            <w:rPr>
              <w:b/>
            </w:rPr>
            <w:t>Algèbre - Analyse</w:t>
          </w:r>
        </w:sdtContent>
      </w:sdt>
      <w:r w:rsidRPr="003158A9">
        <w:rPr>
          <w:b/>
        </w:rPr>
        <w:t xml:space="preserve"> et </w:t>
      </w:r>
      <w:sdt>
        <w:sdtPr>
          <w:rPr>
            <w:b/>
          </w:rPr>
          <w:id w:val="1566832659"/>
          <w:dropDownList>
            <w:listItem w:displayText="Choisissez un élément." w:value="Choisissez un élément."/>
            <w:listItem w:displayText="Statistiques et Probabilités" w:value="Statistiques et Probabilités"/>
            <w:listItem w:displayText="Algèbre - Analyse" w:value="Algèbre - Analyse"/>
            <w:listItem w:displayText="Géométrie" w:value="Géométrie"/>
          </w:dropDownList>
        </w:sdtPr>
        <w:sdtContent>
          <w:r w:rsidRPr="003158A9">
            <w:rPr>
              <w:b/>
            </w:rPr>
            <w:t>Géométrie</w:t>
          </w:r>
        </w:sdtContent>
      </w:sdt>
    </w:p>
    <w:p w:rsidR="000B342F" w:rsidRPr="000B342F" w:rsidRDefault="000B342F" w:rsidP="000B342F">
      <w:pPr>
        <w:spacing w:after="0"/>
      </w:pPr>
    </w:p>
    <w:p w:rsidR="001824CE" w:rsidRDefault="00AD40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26"/>
        </w:tabs>
        <w:spacing w:after="240"/>
      </w:pPr>
      <w:r>
        <w:rPr>
          <w:b/>
        </w:rPr>
        <w:t>Diplôme</w:t>
      </w:r>
      <w:r>
        <w:t> </w:t>
      </w:r>
      <w:r>
        <w:rPr>
          <w:b/>
        </w:rPr>
        <w:t>:</w:t>
      </w:r>
      <w:r>
        <w:t xml:space="preserve"> </w:t>
      </w:r>
      <w:sdt>
        <w:sdtPr>
          <w:id w:val="2075934619"/>
          <w:dropDownList>
            <w:listItem w:displayText="Choisissez un élément." w:value="Choisissez un élément."/>
            <w:listItem w:displayText="CAP" w:value="CAP"/>
            <w:listItem w:displayText="Bac Pro" w:value="Bac Pro"/>
          </w:dropDownList>
        </w:sdtPr>
        <w:sdtEndPr/>
        <w:sdtContent>
          <w:r>
            <w:t>Bac Pro</w:t>
          </w:r>
        </w:sdtContent>
      </w:sdt>
      <w:r>
        <w:tab/>
      </w:r>
      <w:r>
        <w:tab/>
      </w:r>
      <w:r>
        <w:rPr>
          <w:b/>
        </w:rPr>
        <w:t>Niveau :</w:t>
      </w:r>
      <w:r>
        <w:t xml:space="preserve"> </w:t>
      </w:r>
      <w:sdt>
        <w:sdtPr>
          <w:id w:val="1888690652"/>
          <w:dropDownList>
            <w:listItem w:displayText="Choisissez un élément." w:value="Choisissez un élément."/>
            <w:listItem w:displayText="Seconde" w:value="Seconde"/>
            <w:listItem w:displayText="Première" w:value="Première"/>
            <w:listItem w:displayText="Terminale" w:value="Terminale"/>
          </w:dropDownList>
        </w:sdtPr>
        <w:sdtEndPr/>
        <w:sdtContent>
          <w:r>
            <w:t>Seconde</w:t>
          </w:r>
        </w:sdtContent>
      </w:sdt>
      <w:r>
        <w:tab/>
      </w:r>
      <w:r>
        <w:tab/>
      </w:r>
      <w:bookmarkStart w:id="0" w:name="_GoBack"/>
      <w:bookmarkEnd w:id="0"/>
    </w:p>
    <w:p w:rsidR="001824CE" w:rsidRDefault="00AD40E0">
      <w:pPr>
        <w:spacing w:after="240" w:line="240" w:lineRule="auto"/>
      </w:pPr>
      <w:r>
        <w:rPr>
          <w:b/>
        </w:rPr>
        <w:t>Enseignement Professionnel concerné :</w:t>
      </w:r>
      <w:r>
        <w:t xml:space="preserve"> BAC PRO TECHNICIEN OUTILLEUR</w:t>
      </w:r>
    </w:p>
    <w:p w:rsidR="001824CE" w:rsidRDefault="00AD40E0">
      <w:pPr>
        <w:spacing w:after="0" w:line="240" w:lineRule="auto"/>
      </w:pPr>
      <w:r>
        <w:rPr>
          <w:b/>
        </w:rPr>
        <w:t>Énoncé de la situation :</w:t>
      </w:r>
      <w:r>
        <w:t xml:space="preserve"> </w:t>
      </w:r>
      <w:r>
        <w:br/>
      </w:r>
    </w:p>
    <w:p w:rsidR="000B342F" w:rsidRDefault="000B342F" w:rsidP="003158A9">
      <w:pPr>
        <w:spacing w:after="0" w:line="240" w:lineRule="auto"/>
        <w:jc w:val="both"/>
      </w:pPr>
      <w:r>
        <w:t>L’usinage des pièces nécessite l’utilisation d’une émulsion (mélange de lubrifiant et d’eau à 12%).</w:t>
      </w:r>
    </w:p>
    <w:p w:rsidR="00A357C8" w:rsidRDefault="000B342F" w:rsidP="003158A9">
      <w:pPr>
        <w:spacing w:after="0" w:line="240" w:lineRule="auto"/>
        <w:jc w:val="both"/>
      </w:pPr>
      <w:r>
        <w:t>Il faut régulièrement vérifier son niveau de remplissage</w:t>
      </w:r>
      <w:r w:rsidR="00A357C8">
        <w:t xml:space="preserve"> dans le bac (évaporation).</w:t>
      </w:r>
    </w:p>
    <w:p w:rsidR="00B51B71" w:rsidRDefault="00B51B71" w:rsidP="00A135E4">
      <w:pPr>
        <w:spacing w:after="0" w:line="240" w:lineRule="auto"/>
      </w:pPr>
    </w:p>
    <w:p w:rsidR="00B51B71" w:rsidRDefault="003158A9" w:rsidP="00A135E4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3616789</wp:posOffset>
            </wp:positionH>
            <wp:positionV relativeFrom="paragraph">
              <wp:posOffset>63064</wp:posOffset>
            </wp:positionV>
            <wp:extent cx="2012950" cy="1902460"/>
            <wp:effectExtent l="0" t="0" r="6350" b="2540"/>
            <wp:wrapTight wrapText="bothSides">
              <wp:wrapPolygon edited="0">
                <wp:start x="0" y="0"/>
                <wp:lineTo x="0" y="21413"/>
                <wp:lineTo x="21464" y="21413"/>
                <wp:lineTo x="2146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B7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-7526</wp:posOffset>
            </wp:positionH>
            <wp:positionV relativeFrom="paragraph">
              <wp:posOffset>90881</wp:posOffset>
            </wp:positionV>
            <wp:extent cx="2694940" cy="1889125"/>
            <wp:effectExtent l="0" t="0" r="0" b="0"/>
            <wp:wrapTight wrapText="bothSides">
              <wp:wrapPolygon edited="0">
                <wp:start x="0" y="0"/>
                <wp:lineTo x="0" y="21346"/>
                <wp:lineTo x="21376" y="21346"/>
                <wp:lineTo x="21376" y="0"/>
                <wp:lineTo x="0" y="0"/>
              </wp:wrapPolygon>
            </wp:wrapTight>
            <wp:docPr id="1" name="Image 1" descr="C:\Users\02stagiaire\Downloads\bac à emulsi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stagiaire\Downloads\bac à emulsion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B71" w:rsidRDefault="00B51B71" w:rsidP="00A135E4">
      <w:pPr>
        <w:spacing w:after="0" w:line="240" w:lineRule="auto"/>
      </w:pPr>
    </w:p>
    <w:p w:rsidR="00B51B71" w:rsidRDefault="00B51B71" w:rsidP="00A135E4">
      <w:pPr>
        <w:spacing w:after="0" w:line="240" w:lineRule="auto"/>
      </w:pPr>
    </w:p>
    <w:p w:rsidR="00B51B71" w:rsidRDefault="00B51B71" w:rsidP="00A135E4">
      <w:pPr>
        <w:spacing w:after="0" w:line="240" w:lineRule="auto"/>
      </w:pPr>
    </w:p>
    <w:p w:rsidR="00B51B71" w:rsidRDefault="00B51B71" w:rsidP="00A135E4">
      <w:pPr>
        <w:spacing w:after="0" w:line="240" w:lineRule="auto"/>
      </w:pPr>
    </w:p>
    <w:p w:rsidR="00B51B71" w:rsidRDefault="00B51B71" w:rsidP="00A135E4">
      <w:pPr>
        <w:spacing w:after="0" w:line="240" w:lineRule="auto"/>
      </w:pPr>
    </w:p>
    <w:p w:rsidR="00B51B71" w:rsidRDefault="00B51B71" w:rsidP="00A135E4">
      <w:pPr>
        <w:spacing w:after="0" w:line="240" w:lineRule="auto"/>
      </w:pPr>
    </w:p>
    <w:p w:rsidR="00B51B71" w:rsidRDefault="00B51B71" w:rsidP="00A135E4">
      <w:pPr>
        <w:spacing w:after="0" w:line="240" w:lineRule="auto"/>
      </w:pPr>
    </w:p>
    <w:p w:rsidR="00B51B71" w:rsidRDefault="00B51B71" w:rsidP="00A135E4">
      <w:pPr>
        <w:spacing w:after="0" w:line="240" w:lineRule="auto"/>
      </w:pPr>
    </w:p>
    <w:p w:rsidR="00B51B71" w:rsidRDefault="00B51B71" w:rsidP="00A135E4">
      <w:pPr>
        <w:spacing w:after="0" w:line="240" w:lineRule="auto"/>
      </w:pPr>
    </w:p>
    <w:p w:rsidR="00B51B71" w:rsidRDefault="00B51B71" w:rsidP="00A135E4">
      <w:pPr>
        <w:spacing w:after="0" w:line="240" w:lineRule="auto"/>
      </w:pPr>
    </w:p>
    <w:p w:rsidR="00B51B71" w:rsidRDefault="00B51B71" w:rsidP="00A135E4">
      <w:pPr>
        <w:spacing w:after="0" w:line="240" w:lineRule="auto"/>
      </w:pPr>
    </w:p>
    <w:p w:rsidR="003158A9" w:rsidRDefault="003158A9" w:rsidP="003158A9">
      <w:pPr>
        <w:spacing w:after="0" w:line="240" w:lineRule="auto"/>
      </w:pPr>
      <w:r>
        <w:t>Après avoir effectué les mesures nécessaires, construire une</w:t>
      </w:r>
      <w:r>
        <w:t xml:space="preserve"> jauge permettant de connaître et de surve</w:t>
      </w:r>
      <w:r>
        <w:t>iller son niveau de remplissage.</w:t>
      </w:r>
    </w:p>
    <w:p w:rsidR="003158A9" w:rsidRDefault="003158A9" w:rsidP="00A135E4">
      <w:pPr>
        <w:spacing w:after="0" w:line="240" w:lineRule="auto"/>
      </w:pPr>
    </w:p>
    <w:p w:rsidR="003158A9" w:rsidRPr="00A135E4" w:rsidRDefault="003158A9" w:rsidP="00A135E4">
      <w:pPr>
        <w:spacing w:after="0" w:line="240" w:lineRule="auto"/>
      </w:pPr>
    </w:p>
    <w:p w:rsidR="00A135E4" w:rsidRPr="00A135E4" w:rsidRDefault="00A135E4" w:rsidP="00A135E4">
      <w:pPr>
        <w:spacing w:after="0" w:line="240" w:lineRule="auto"/>
      </w:pPr>
    </w:p>
    <w:p w:rsidR="00A135E4" w:rsidRPr="00A135E4" w:rsidRDefault="00A135E4" w:rsidP="00A135E4">
      <w:pPr>
        <w:spacing w:after="0" w:line="240" w:lineRule="auto"/>
        <w:sectPr w:rsidR="00A135E4" w:rsidRPr="00A135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5E4" w:rsidRPr="00A135E4" w:rsidRDefault="00A135E4" w:rsidP="00A135E4">
      <w:pPr>
        <w:spacing w:after="0" w:line="240" w:lineRule="auto"/>
        <w:rPr>
          <w:b/>
        </w:rPr>
      </w:pPr>
      <w:r w:rsidRPr="00A135E4">
        <w:rPr>
          <w:b/>
        </w:rPr>
        <w:t xml:space="preserve">Compétences : </w:t>
      </w:r>
    </w:p>
    <w:p w:rsidR="00A135E4" w:rsidRPr="00A135E4" w:rsidRDefault="00A135E4" w:rsidP="00A135E4">
      <w:pPr>
        <w:spacing w:after="0" w:line="240" w:lineRule="auto"/>
      </w:pPr>
      <w:sdt>
        <w:sdtPr>
          <w:id w:val="-15245496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A135E4">
            <w:rPr>
              <w:rFonts w:ascii="Segoe UI Symbol" w:hAnsi="Segoe UI Symbol" w:cs="Segoe UI Symbol"/>
            </w:rPr>
            <w:t>☒</w:t>
          </w:r>
        </w:sdtContent>
      </w:sdt>
      <w:r w:rsidRPr="00A135E4">
        <w:t xml:space="preserve">  S’approprier</w:t>
      </w:r>
    </w:p>
    <w:p w:rsidR="00A135E4" w:rsidRPr="00A135E4" w:rsidRDefault="00A135E4" w:rsidP="00A135E4">
      <w:pPr>
        <w:spacing w:after="0" w:line="240" w:lineRule="auto"/>
      </w:pPr>
      <w:sdt>
        <w:sdtPr>
          <w:id w:val="-15211514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A135E4">
            <w:rPr>
              <w:rFonts w:ascii="Segoe UI Symbol" w:hAnsi="Segoe UI Symbol" w:cs="Segoe UI Symbol"/>
            </w:rPr>
            <w:t>☒</w:t>
          </w:r>
        </w:sdtContent>
      </w:sdt>
      <w:r w:rsidRPr="00A135E4">
        <w:t xml:space="preserve">  Analyser Raisonner</w:t>
      </w:r>
      <w:r w:rsidRPr="00A135E4">
        <w:tab/>
      </w:r>
    </w:p>
    <w:p w:rsidR="00A135E4" w:rsidRPr="00A135E4" w:rsidRDefault="00A135E4" w:rsidP="00A135E4">
      <w:pPr>
        <w:spacing w:after="0" w:line="240" w:lineRule="auto"/>
      </w:pPr>
      <w:sdt>
        <w:sdtPr>
          <w:id w:val="21309645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A135E4">
            <w:rPr>
              <w:rFonts w:ascii="Segoe UI Symbol" w:hAnsi="Segoe UI Symbol" w:cs="Segoe UI Symbol"/>
            </w:rPr>
            <w:t>☒</w:t>
          </w:r>
        </w:sdtContent>
      </w:sdt>
      <w:r w:rsidRPr="00A135E4">
        <w:t xml:space="preserve">  Réaliser</w:t>
      </w:r>
    </w:p>
    <w:p w:rsidR="00A135E4" w:rsidRPr="00A135E4" w:rsidRDefault="00A135E4" w:rsidP="00A135E4">
      <w:pPr>
        <w:spacing w:after="0" w:line="240" w:lineRule="auto"/>
      </w:pPr>
      <w:sdt>
        <w:sdtPr>
          <w:id w:val="-10935474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A135E4">
            <w:rPr>
              <w:rFonts w:ascii="Segoe UI Symbol" w:hAnsi="Segoe UI Symbol" w:cs="Segoe UI Symbol"/>
            </w:rPr>
            <w:t>☒</w:t>
          </w:r>
        </w:sdtContent>
      </w:sdt>
      <w:r w:rsidRPr="00A135E4">
        <w:t xml:space="preserve">  Valider</w:t>
      </w:r>
    </w:p>
    <w:p w:rsidR="00A135E4" w:rsidRPr="00A135E4" w:rsidRDefault="00A135E4" w:rsidP="00A135E4">
      <w:pPr>
        <w:spacing w:after="0" w:line="240" w:lineRule="auto"/>
      </w:pPr>
      <w:sdt>
        <w:sdtPr>
          <w:id w:val="2560286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A135E4">
            <w:rPr>
              <w:rFonts w:ascii="Segoe UI Symbol" w:hAnsi="Segoe UI Symbol" w:cs="Segoe UI Symbol"/>
            </w:rPr>
            <w:t>☒</w:t>
          </w:r>
        </w:sdtContent>
      </w:sdt>
      <w:r w:rsidRPr="00A135E4">
        <w:t xml:space="preserve">  Communiquer</w:t>
      </w:r>
    </w:p>
    <w:p w:rsidR="00A135E4" w:rsidRPr="00A135E4" w:rsidRDefault="00A135E4" w:rsidP="00A135E4">
      <w:pPr>
        <w:spacing w:after="0" w:line="240" w:lineRule="auto"/>
        <w:rPr>
          <w:b/>
        </w:rPr>
      </w:pPr>
      <w:r w:rsidRPr="00A135E4">
        <w:br w:type="column"/>
      </w:r>
      <w:r w:rsidRPr="00A135E4">
        <w:rPr>
          <w:b/>
        </w:rPr>
        <w:t>Capacités et connaissances du programme :</w:t>
      </w:r>
    </w:p>
    <w:sdt>
      <w:sdtPr>
        <w:id w:val="884914985"/>
        <w:placeholder>
          <w:docPart w:val="982DAEDDDF8C45B3BABAD7EE00619C92"/>
        </w:placeholder>
      </w:sdtPr>
      <w:sdtContent>
        <w:p w:rsidR="00A135E4" w:rsidRPr="00A135E4" w:rsidRDefault="00A135E4" w:rsidP="00A135E4">
          <w:pPr>
            <w:spacing w:after="0" w:line="240" w:lineRule="auto"/>
          </w:pPr>
          <w:r w:rsidRPr="00A135E4">
            <w:t xml:space="preserve">Capacités </w:t>
          </w:r>
        </w:p>
        <w:p w:rsidR="00A135E4" w:rsidRDefault="00A135E4" w:rsidP="00A135E4">
          <w:pPr>
            <w:spacing w:after="0" w:line="240" w:lineRule="auto"/>
          </w:pPr>
          <w:r>
            <w:t>Reconnaître, nommer un solide usuel.</w:t>
          </w:r>
        </w:p>
        <w:p w:rsidR="00A135E4" w:rsidRPr="00A135E4" w:rsidRDefault="00A135E4" w:rsidP="00A135E4">
          <w:pPr>
            <w:spacing w:after="0" w:line="240" w:lineRule="auto"/>
          </w:pPr>
          <w:r w:rsidRPr="00A135E4">
            <w:t xml:space="preserve">Calculer des longueurs, des mesures d’angles, des aires et des volumes </w:t>
          </w:r>
          <w:r>
            <w:t>dans les figures ou solides.</w:t>
          </w:r>
        </w:p>
        <w:p w:rsidR="00A135E4" w:rsidRPr="00A135E4" w:rsidRDefault="00A135E4" w:rsidP="00A135E4">
          <w:pPr>
            <w:spacing w:after="0" w:line="240" w:lineRule="auto"/>
          </w:pPr>
          <w:r w:rsidRPr="00A135E4">
            <w:t xml:space="preserve">Déterminer les effets d’un agrandissement ou d’une réduction sur les longueurs, les aires et les volumes. </w:t>
          </w:r>
        </w:p>
        <w:p w:rsidR="00A135E4" w:rsidRDefault="00A135E4" w:rsidP="00A135E4">
          <w:pPr>
            <w:spacing w:after="0" w:line="240" w:lineRule="auto"/>
          </w:pPr>
          <w:r>
            <w:t>Reconnaître une situation de proportionnalité et déterminer la fonction linéaire qui la modélise.</w:t>
          </w:r>
        </w:p>
        <w:p w:rsidR="00A135E4" w:rsidRPr="00A135E4" w:rsidRDefault="00A135E4" w:rsidP="00A135E4">
          <w:pPr>
            <w:spacing w:after="0" w:line="240" w:lineRule="auto"/>
          </w:pPr>
        </w:p>
        <w:p w:rsidR="00A135E4" w:rsidRPr="00A135E4" w:rsidRDefault="00A135E4" w:rsidP="00A135E4">
          <w:pPr>
            <w:spacing w:after="0" w:line="240" w:lineRule="auto"/>
          </w:pPr>
          <w:r w:rsidRPr="00A135E4">
            <w:t xml:space="preserve">Connaissances </w:t>
          </w:r>
        </w:p>
        <w:p w:rsidR="00B51B71" w:rsidRDefault="00B51B71" w:rsidP="00A135E4">
          <w:pPr>
            <w:spacing w:after="0" w:line="240" w:lineRule="auto"/>
          </w:pPr>
          <w:r>
            <w:t>Solides usuels : le cube, le pavé droit</w:t>
          </w:r>
          <w:r>
            <w:t>.</w:t>
          </w:r>
        </w:p>
        <w:p w:rsidR="00B51B71" w:rsidRDefault="00B51B71" w:rsidP="00A135E4">
          <w:pPr>
            <w:spacing w:after="0" w:line="240" w:lineRule="auto"/>
          </w:pPr>
          <w:r>
            <w:t>Fig</w:t>
          </w:r>
          <w:r>
            <w:t>ures planes usuelles : quadrilatère.</w:t>
          </w:r>
        </w:p>
        <w:p w:rsidR="00A135E4" w:rsidRDefault="00A135E4" w:rsidP="00A135E4">
          <w:pPr>
            <w:spacing w:after="0" w:line="240" w:lineRule="auto"/>
          </w:pPr>
          <w:r w:rsidRPr="00A135E4">
            <w:t>Formule de l’</w:t>
          </w:r>
          <w:r w:rsidR="00B51B71">
            <w:t>aire d'un rectangle.</w:t>
          </w:r>
        </w:p>
        <w:p w:rsidR="00B51B71" w:rsidRDefault="00B51B71" w:rsidP="00A135E4">
          <w:pPr>
            <w:spacing w:after="0" w:line="240" w:lineRule="auto"/>
          </w:pPr>
          <w:r>
            <w:t>Formule du volume du cu</w:t>
          </w:r>
          <w:r>
            <w:t>be, du pavé droit.</w:t>
          </w:r>
        </w:p>
        <w:p w:rsidR="00B51B71" w:rsidRPr="00A135E4" w:rsidRDefault="00B51B71" w:rsidP="00B51B71">
          <w:pPr>
            <w:spacing w:after="0" w:line="240" w:lineRule="auto"/>
          </w:pPr>
          <w:r>
            <w:t>Différents modes de représentation d’une fonction (expression, tableau de valeurs, courbe représentative).</w:t>
          </w:r>
        </w:p>
        <w:p w:rsidR="00A135E4" w:rsidRPr="00A135E4" w:rsidRDefault="00A135E4" w:rsidP="00A135E4">
          <w:pPr>
            <w:spacing w:after="0" w:line="240" w:lineRule="auto"/>
            <w:sectPr w:rsidR="00A135E4" w:rsidRPr="00A135E4" w:rsidSect="002C31B2">
              <w:type w:val="continuous"/>
              <w:pgSz w:w="11906" w:h="16838"/>
              <w:pgMar w:top="1417" w:right="1417" w:bottom="1417" w:left="1417" w:header="708" w:footer="708" w:gutter="0"/>
              <w:cols w:num="2" w:sep="1" w:space="284" w:equalWidth="0">
                <w:col w:w="2268" w:space="284"/>
                <w:col w:w="6520"/>
              </w:cols>
              <w:docGrid w:linePitch="360"/>
            </w:sectPr>
          </w:pPr>
        </w:p>
      </w:sdtContent>
    </w:sdt>
    <w:p w:rsidR="003158A9" w:rsidRDefault="003158A9" w:rsidP="003158A9">
      <w:pPr>
        <w:spacing w:after="0" w:line="240" w:lineRule="auto"/>
      </w:pPr>
      <w:r>
        <w:lastRenderedPageBreak/>
        <w:t>Prolongations possibles :</w:t>
      </w:r>
    </w:p>
    <w:p w:rsidR="00C21CD5" w:rsidRDefault="00C21CD5" w:rsidP="003158A9">
      <w:pPr>
        <w:spacing w:after="0" w:line="240" w:lineRule="auto"/>
      </w:pPr>
    </w:p>
    <w:p w:rsidR="00C21CD5" w:rsidRPr="00C21CD5" w:rsidRDefault="00C21CD5" w:rsidP="00C21CD5">
      <w:pPr>
        <w:spacing w:after="0" w:line="240" w:lineRule="auto"/>
        <w:rPr>
          <w:rStyle w:val="Textedelespacerserv"/>
          <w:color w:val="auto"/>
        </w:rPr>
      </w:pPr>
      <w:r w:rsidRPr="00C21CD5">
        <w:rPr>
          <w:rStyle w:val="Textedelespacerserv"/>
          <w:color w:val="auto"/>
        </w:rPr>
        <w:t>Le contrôle de l’émulsion consiste à mesurer à la fois, le niveau de remplissage</w:t>
      </w:r>
      <w:r>
        <w:rPr>
          <w:rStyle w:val="Textedelespacerserv"/>
          <w:color w:val="auto"/>
        </w:rPr>
        <w:t xml:space="preserve"> du bac</w:t>
      </w:r>
      <w:r w:rsidRPr="00C21CD5">
        <w:rPr>
          <w:rStyle w:val="Textedelespacerserv"/>
          <w:color w:val="auto"/>
        </w:rPr>
        <w:t>, la concentration en lubrifiant et son pH.</w:t>
      </w:r>
    </w:p>
    <w:p w:rsidR="00C21CD5" w:rsidRPr="00537289" w:rsidRDefault="00C21CD5" w:rsidP="00C21CD5">
      <w:pPr>
        <w:pStyle w:val="Paragraphedeliste"/>
        <w:numPr>
          <w:ilvl w:val="0"/>
          <w:numId w:val="3"/>
        </w:numPr>
        <w:spacing w:after="0" w:line="240" w:lineRule="auto"/>
        <w:rPr>
          <w:color w:val="auto"/>
        </w:rPr>
      </w:pPr>
      <w:r>
        <w:rPr>
          <w:rStyle w:val="Textedelespacerserv"/>
          <w:bCs/>
          <w:color w:val="auto"/>
        </w:rPr>
        <w:t>Le</w:t>
      </w:r>
      <w:r w:rsidRPr="00537289">
        <w:rPr>
          <w:rStyle w:val="Textedelespacerserv"/>
          <w:bCs/>
          <w:color w:val="auto"/>
        </w:rPr>
        <w:t xml:space="preserve"> pH doit se situer entre 9 et 9,2. Les mesures</w:t>
      </w:r>
      <w:r>
        <w:rPr>
          <w:rStyle w:val="Textedelespacerserv"/>
          <w:bCs/>
          <w:color w:val="auto"/>
        </w:rPr>
        <w:t xml:space="preserve"> peuvent être exploitées</w:t>
      </w:r>
      <w:r w:rsidRPr="00537289">
        <w:rPr>
          <w:rStyle w:val="Textedelespacerserv"/>
          <w:bCs/>
          <w:color w:val="auto"/>
        </w:rPr>
        <w:t xml:space="preserve"> en cours de sciences physiques </w:t>
      </w:r>
      <w:r>
        <w:rPr>
          <w:rStyle w:val="Textedelespacerserv"/>
          <w:bCs/>
          <w:color w:val="auto"/>
        </w:rPr>
        <w:t xml:space="preserve">et </w:t>
      </w:r>
      <w:r w:rsidRPr="00537289">
        <w:rPr>
          <w:rStyle w:val="Textedelespacerserv"/>
          <w:bCs/>
          <w:color w:val="auto"/>
        </w:rPr>
        <w:t>chimi</w:t>
      </w:r>
      <w:r>
        <w:rPr>
          <w:rStyle w:val="Textedelespacerserv"/>
          <w:bCs/>
          <w:color w:val="auto"/>
        </w:rPr>
        <w:t>qu</w:t>
      </w:r>
      <w:r w:rsidRPr="00537289">
        <w:rPr>
          <w:rStyle w:val="Textedelespacerserv"/>
          <w:bCs/>
          <w:color w:val="auto"/>
        </w:rPr>
        <w:t>e</w:t>
      </w:r>
      <w:r>
        <w:rPr>
          <w:rStyle w:val="Textedelespacerserv"/>
          <w:bCs/>
          <w:color w:val="auto"/>
        </w:rPr>
        <w:t>s</w:t>
      </w:r>
      <w:r w:rsidRPr="00537289">
        <w:rPr>
          <w:rStyle w:val="Textedelespacerserv"/>
          <w:bCs/>
          <w:color w:val="auto"/>
        </w:rPr>
        <w:t>.</w:t>
      </w:r>
    </w:p>
    <w:p w:rsidR="00C21CD5" w:rsidRPr="00C21CD5" w:rsidRDefault="00C21CD5" w:rsidP="00C21CD5">
      <w:pPr>
        <w:pStyle w:val="Paragraphedeliste"/>
        <w:numPr>
          <w:ilvl w:val="0"/>
          <w:numId w:val="3"/>
        </w:numPr>
        <w:spacing w:after="0" w:line="240" w:lineRule="auto"/>
        <w:rPr>
          <w:rStyle w:val="Textedelespacerserv"/>
          <w:color w:val="auto"/>
        </w:rPr>
      </w:pPr>
      <w:r>
        <w:rPr>
          <w:rStyle w:val="Textedelespacerserv"/>
          <w:bCs/>
          <w:color w:val="auto"/>
        </w:rPr>
        <w:t>La concentration du lubrifiant est mesurée à l’aide d’un réfractomètre et peut être ajustée.</w:t>
      </w:r>
    </w:p>
    <w:p w:rsidR="00C21CD5" w:rsidRDefault="00C21CD5" w:rsidP="003158A9">
      <w:pPr>
        <w:spacing w:after="0" w:line="240" w:lineRule="auto"/>
      </w:pPr>
    </w:p>
    <w:p w:rsidR="00C21CD5" w:rsidRDefault="00C21CD5" w:rsidP="003158A9">
      <w:pPr>
        <w:spacing w:after="0" w:line="240" w:lineRule="auto"/>
      </w:pPr>
      <w:r>
        <w:t>À terme, l’abaque permettant d’aider à l’ajustement de l’émulsion en fonction de sa hauteur, de son pH et de sa concentration peut être affiché sur le plateau technique.</w:t>
      </w:r>
    </w:p>
    <w:p w:rsidR="00C21CD5" w:rsidRDefault="00C21CD5" w:rsidP="003158A9">
      <w:pPr>
        <w:spacing w:after="0" w:line="240" w:lineRule="auto"/>
      </w:pPr>
    </w:p>
    <w:p w:rsidR="001824CE" w:rsidRDefault="00C21CD5" w:rsidP="00C21CD5">
      <w:pPr>
        <w:spacing w:after="0" w:line="240" w:lineRule="auto"/>
      </w:pPr>
      <w:r>
        <w:t>Si</w:t>
      </w:r>
      <w:r w:rsidR="00AD40E0">
        <w:t xml:space="preserve"> </w:t>
      </w:r>
      <w:bookmarkStart w:id="1" w:name="__DdeLink__124_2039122506"/>
      <w:r w:rsidR="00BF0FCD">
        <w:t>le bac à émulsion est</w:t>
      </w:r>
      <w:r w:rsidR="00AD40E0">
        <w:t xml:space="preserve"> un solide constitué </w:t>
      </w:r>
      <w:r w:rsidR="00AD40E0">
        <w:t>d'un parallélépipède rectangle raccordé à un tronc de pyramide</w:t>
      </w:r>
      <w:bookmarkEnd w:id="1"/>
      <w:r w:rsidR="00AD40E0">
        <w:t xml:space="preserve"> ou à un prisme dont la base est </w:t>
      </w:r>
      <w:r>
        <w:t>un parallélépipède rectangle, l</w:t>
      </w:r>
      <w:r w:rsidR="00AD40E0">
        <w:t>a situation n'</w:t>
      </w:r>
      <w:r>
        <w:t xml:space="preserve">est plus proportionnelle. Elle peut être modélisée par une fonction du </w:t>
      </w:r>
      <w:r w:rsidR="00AD40E0">
        <w:t>second degré</w:t>
      </w:r>
      <w:r w:rsidR="00A357C8">
        <w:t>.</w:t>
      </w:r>
    </w:p>
    <w:p w:rsidR="00537289" w:rsidRDefault="00537289" w:rsidP="00537289">
      <w:pPr>
        <w:spacing w:after="0" w:line="240" w:lineRule="auto"/>
        <w:ind w:left="360"/>
      </w:pPr>
    </w:p>
    <w:p w:rsidR="001824CE" w:rsidRDefault="00537289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458072</wp:posOffset>
            </wp:positionH>
            <wp:positionV relativeFrom="paragraph">
              <wp:posOffset>6720</wp:posOffset>
            </wp:positionV>
            <wp:extent cx="4380865" cy="2491105"/>
            <wp:effectExtent l="0" t="0" r="635" b="4445"/>
            <wp:wrapTight wrapText="bothSides">
              <wp:wrapPolygon edited="0">
                <wp:start x="0" y="0"/>
                <wp:lineTo x="0" y="21473"/>
                <wp:lineTo x="21509" y="21473"/>
                <wp:lineTo x="2150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24CE" w:rsidRDefault="001824CE">
      <w:pPr>
        <w:sectPr w:rsidR="001824CE"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-2049"/>
        </w:sectPr>
      </w:pPr>
    </w:p>
    <w:p w:rsidR="001824CE" w:rsidRDefault="001824CE"/>
    <w:p w:rsidR="001824CE" w:rsidRDefault="001824CE">
      <w:pPr>
        <w:spacing w:after="0" w:line="240" w:lineRule="auto"/>
      </w:pPr>
    </w:p>
    <w:p w:rsidR="00537289" w:rsidRDefault="00537289">
      <w:pPr>
        <w:spacing w:after="0" w:line="240" w:lineRule="auto"/>
      </w:pPr>
    </w:p>
    <w:p w:rsidR="00537289" w:rsidRDefault="00537289">
      <w:pPr>
        <w:spacing w:after="0" w:line="240" w:lineRule="auto"/>
      </w:pPr>
    </w:p>
    <w:p w:rsidR="00537289" w:rsidRDefault="00537289">
      <w:pPr>
        <w:spacing w:after="0" w:line="240" w:lineRule="auto"/>
      </w:pPr>
    </w:p>
    <w:p w:rsidR="001824CE" w:rsidRDefault="001824CE">
      <w:pPr>
        <w:spacing w:after="0" w:line="240" w:lineRule="auto"/>
      </w:pPr>
    </w:p>
    <w:p w:rsidR="00C21CD5" w:rsidRPr="00C21CD5" w:rsidRDefault="00C21CD5" w:rsidP="00C21CD5">
      <w:pPr>
        <w:spacing w:after="0" w:line="240" w:lineRule="auto"/>
        <w:rPr>
          <w:color w:val="auto"/>
        </w:rPr>
      </w:pPr>
    </w:p>
    <w:p w:rsidR="001824CE" w:rsidRPr="00537289" w:rsidRDefault="001824CE">
      <w:pPr>
        <w:spacing w:after="0" w:line="240" w:lineRule="auto"/>
        <w:rPr>
          <w:rStyle w:val="Textedelespacerserv"/>
          <w:bCs/>
          <w:color w:val="auto"/>
        </w:rPr>
      </w:pPr>
    </w:p>
    <w:p w:rsidR="001824CE" w:rsidRDefault="001824CE">
      <w:pPr>
        <w:spacing w:after="0" w:line="240" w:lineRule="auto"/>
        <w:rPr>
          <w:rStyle w:val="Textedelespacerserv"/>
          <w:b/>
          <w:bCs/>
        </w:rPr>
      </w:pPr>
    </w:p>
    <w:p w:rsidR="001824CE" w:rsidRDefault="001824CE">
      <w:pPr>
        <w:rPr>
          <w:b/>
          <w:bCs/>
        </w:rPr>
      </w:pPr>
    </w:p>
    <w:p w:rsidR="001824CE" w:rsidRDefault="001824CE"/>
    <w:p w:rsidR="001824CE" w:rsidRDefault="001824CE"/>
    <w:sectPr w:rsidR="001824CE">
      <w:type w:val="continuous"/>
      <w:pgSz w:w="11906" w:h="16838"/>
      <w:pgMar w:top="1417" w:right="1417" w:bottom="1417" w:left="1417" w:header="0" w:footer="0" w:gutter="0"/>
      <w:cols w:num="2" w:sep="1" w:space="720" w:equalWidth="0">
        <w:col w:w="8744" w:space="284"/>
        <w:col w:w="43"/>
      </w:cols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40E0">
      <w:pPr>
        <w:spacing w:after="0" w:line="240" w:lineRule="auto"/>
      </w:pPr>
      <w:r>
        <w:separator/>
      </w:r>
    </w:p>
  </w:endnote>
  <w:endnote w:type="continuationSeparator" w:id="0">
    <w:p w:rsidR="00000000" w:rsidRDefault="00AD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CE" w:rsidRDefault="00AD40E0">
      <w:r>
        <w:separator/>
      </w:r>
    </w:p>
  </w:footnote>
  <w:footnote w:type="continuationSeparator" w:id="0">
    <w:p w:rsidR="001824CE" w:rsidRDefault="00AD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0DAA"/>
    <w:multiLevelType w:val="multilevel"/>
    <w:tmpl w:val="D6E245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B61612"/>
    <w:multiLevelType w:val="hybridMultilevel"/>
    <w:tmpl w:val="99B09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44E96"/>
    <w:multiLevelType w:val="multilevel"/>
    <w:tmpl w:val="2AD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CE"/>
    <w:rsid w:val="000B342F"/>
    <w:rsid w:val="001824CE"/>
    <w:rsid w:val="003158A9"/>
    <w:rsid w:val="00325D3F"/>
    <w:rsid w:val="00537289"/>
    <w:rsid w:val="005A11EA"/>
    <w:rsid w:val="00A135E4"/>
    <w:rsid w:val="00A357C8"/>
    <w:rsid w:val="00AD40E0"/>
    <w:rsid w:val="00B51B71"/>
    <w:rsid w:val="00BF0FCD"/>
    <w:rsid w:val="00C21CD5"/>
    <w:rsid w:val="00DF7611"/>
    <w:rsid w:val="00E0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C03C"/>
  <w15:docId w15:val="{3D83CA01-C660-4B80-8498-CF4B042A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color w:val="00000A"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1138C6"/>
    <w:rPr>
      <w:color w:val="80808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40045"/>
    <w:rPr>
      <w:rFonts w:ascii="Segoe UI" w:hAnsi="Segoe UI" w:cs="Segoe UI"/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C2441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C24415"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sid w:val="00782C97"/>
    <w:rPr>
      <w:color w:val="0563C1" w:themeColor="hyperlink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400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</w:style>
  <w:style w:type="paragraph" w:customStyle="1" w:styleId="Default">
    <w:name w:val="Default"/>
    <w:rsid w:val="00A135E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1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2DAEDDDF8C45B3BABAD7EE00619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E3E09-8028-42AA-B791-A0A46376C3B4}"/>
      </w:docPartPr>
      <w:docPartBody>
        <w:p w:rsidR="00000000" w:rsidRDefault="00AE2289" w:rsidP="00AE2289">
          <w:pPr>
            <w:pStyle w:val="982DAEDDDF8C45B3BABAD7EE00619C92"/>
          </w:pPr>
          <w:r w:rsidRPr="005D71E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0B"/>
    <w:rsid w:val="00224425"/>
    <w:rsid w:val="00AD4B9C"/>
    <w:rsid w:val="00AE2289"/>
    <w:rsid w:val="00E0530B"/>
    <w:rsid w:val="00F4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2289"/>
    <w:rPr>
      <w:color w:val="808080"/>
    </w:rPr>
  </w:style>
  <w:style w:type="paragraph" w:customStyle="1" w:styleId="A9EA359761364F8DA918757BB1722D7C">
    <w:name w:val="A9EA359761364F8DA918757BB1722D7C"/>
    <w:rsid w:val="00E0530B"/>
    <w:rPr>
      <w:rFonts w:eastAsiaTheme="minorHAnsi"/>
      <w:lang w:eastAsia="en-US"/>
    </w:rPr>
  </w:style>
  <w:style w:type="paragraph" w:customStyle="1" w:styleId="F59749DC1C7B48519AF8398A08E4134E">
    <w:name w:val="F59749DC1C7B48519AF8398A08E4134E"/>
    <w:rsid w:val="00E0530B"/>
    <w:rPr>
      <w:rFonts w:eastAsiaTheme="minorHAnsi"/>
      <w:lang w:eastAsia="en-US"/>
    </w:rPr>
  </w:style>
  <w:style w:type="paragraph" w:customStyle="1" w:styleId="9B2F25B9523F49D38A65970192276479">
    <w:name w:val="9B2F25B9523F49D38A65970192276479"/>
    <w:rsid w:val="00E0530B"/>
    <w:rPr>
      <w:rFonts w:eastAsiaTheme="minorHAnsi"/>
      <w:lang w:eastAsia="en-US"/>
    </w:rPr>
  </w:style>
  <w:style w:type="paragraph" w:customStyle="1" w:styleId="3626217DE8004339BFB0CAB7D1F26647">
    <w:name w:val="3626217DE8004339BFB0CAB7D1F26647"/>
    <w:rsid w:val="00E0530B"/>
    <w:rPr>
      <w:rFonts w:eastAsiaTheme="minorHAnsi"/>
      <w:lang w:eastAsia="en-US"/>
    </w:rPr>
  </w:style>
  <w:style w:type="paragraph" w:customStyle="1" w:styleId="11B81C84ADA54F00936FFB54488BF39E">
    <w:name w:val="11B81C84ADA54F00936FFB54488BF39E"/>
    <w:rsid w:val="00E0530B"/>
    <w:rPr>
      <w:rFonts w:eastAsiaTheme="minorHAnsi"/>
      <w:lang w:eastAsia="en-US"/>
    </w:rPr>
  </w:style>
  <w:style w:type="paragraph" w:customStyle="1" w:styleId="9E047834A8FA41D4BC32E59E067DD027">
    <w:name w:val="9E047834A8FA41D4BC32E59E067DD027"/>
    <w:rsid w:val="00E0530B"/>
    <w:rPr>
      <w:rFonts w:eastAsiaTheme="minorHAnsi"/>
      <w:lang w:eastAsia="en-US"/>
    </w:rPr>
  </w:style>
  <w:style w:type="paragraph" w:customStyle="1" w:styleId="A9EA359761364F8DA918757BB1722D7C1">
    <w:name w:val="A9EA359761364F8DA918757BB1722D7C1"/>
    <w:rsid w:val="00E0530B"/>
    <w:rPr>
      <w:rFonts w:eastAsiaTheme="minorHAnsi"/>
      <w:lang w:eastAsia="en-US"/>
    </w:rPr>
  </w:style>
  <w:style w:type="paragraph" w:customStyle="1" w:styleId="F59749DC1C7B48519AF8398A08E4134E1">
    <w:name w:val="F59749DC1C7B48519AF8398A08E4134E1"/>
    <w:rsid w:val="00E0530B"/>
    <w:rPr>
      <w:rFonts w:eastAsiaTheme="minorHAnsi"/>
      <w:lang w:eastAsia="en-US"/>
    </w:rPr>
  </w:style>
  <w:style w:type="paragraph" w:customStyle="1" w:styleId="9B2F25B9523F49D38A659701922764791">
    <w:name w:val="9B2F25B9523F49D38A659701922764791"/>
    <w:rsid w:val="00E0530B"/>
    <w:rPr>
      <w:rFonts w:eastAsiaTheme="minorHAnsi"/>
      <w:lang w:eastAsia="en-US"/>
    </w:rPr>
  </w:style>
  <w:style w:type="paragraph" w:customStyle="1" w:styleId="3626217DE8004339BFB0CAB7D1F266471">
    <w:name w:val="3626217DE8004339BFB0CAB7D1F266471"/>
    <w:rsid w:val="00E0530B"/>
    <w:rPr>
      <w:rFonts w:eastAsiaTheme="minorHAnsi"/>
      <w:lang w:eastAsia="en-US"/>
    </w:rPr>
  </w:style>
  <w:style w:type="paragraph" w:customStyle="1" w:styleId="11B81C84ADA54F00936FFB54488BF39E1">
    <w:name w:val="11B81C84ADA54F00936FFB54488BF39E1"/>
    <w:rsid w:val="00E0530B"/>
    <w:rPr>
      <w:rFonts w:eastAsiaTheme="minorHAnsi"/>
      <w:lang w:eastAsia="en-US"/>
    </w:rPr>
  </w:style>
  <w:style w:type="paragraph" w:customStyle="1" w:styleId="9E047834A8FA41D4BC32E59E067DD0271">
    <w:name w:val="9E047834A8FA41D4BC32E59E067DD0271"/>
    <w:rsid w:val="00E0530B"/>
    <w:rPr>
      <w:rFonts w:eastAsiaTheme="minorHAnsi"/>
      <w:lang w:eastAsia="en-US"/>
    </w:rPr>
  </w:style>
  <w:style w:type="paragraph" w:customStyle="1" w:styleId="A9EA359761364F8DA918757BB1722D7C2">
    <w:name w:val="A9EA359761364F8DA918757BB1722D7C2"/>
    <w:rsid w:val="00E0530B"/>
    <w:rPr>
      <w:rFonts w:eastAsiaTheme="minorHAnsi"/>
      <w:lang w:eastAsia="en-US"/>
    </w:rPr>
  </w:style>
  <w:style w:type="paragraph" w:customStyle="1" w:styleId="F59749DC1C7B48519AF8398A08E4134E2">
    <w:name w:val="F59749DC1C7B48519AF8398A08E4134E2"/>
    <w:rsid w:val="00E0530B"/>
    <w:rPr>
      <w:rFonts w:eastAsiaTheme="minorHAnsi"/>
      <w:lang w:eastAsia="en-US"/>
    </w:rPr>
  </w:style>
  <w:style w:type="paragraph" w:customStyle="1" w:styleId="9B2F25B9523F49D38A659701922764792">
    <w:name w:val="9B2F25B9523F49D38A659701922764792"/>
    <w:rsid w:val="00E0530B"/>
    <w:rPr>
      <w:rFonts w:eastAsiaTheme="minorHAnsi"/>
      <w:lang w:eastAsia="en-US"/>
    </w:rPr>
  </w:style>
  <w:style w:type="paragraph" w:customStyle="1" w:styleId="3626217DE8004339BFB0CAB7D1F266472">
    <w:name w:val="3626217DE8004339BFB0CAB7D1F266472"/>
    <w:rsid w:val="00E0530B"/>
    <w:rPr>
      <w:rFonts w:eastAsiaTheme="minorHAnsi"/>
      <w:lang w:eastAsia="en-US"/>
    </w:rPr>
  </w:style>
  <w:style w:type="paragraph" w:customStyle="1" w:styleId="11B81C84ADA54F00936FFB54488BF39E2">
    <w:name w:val="11B81C84ADA54F00936FFB54488BF39E2"/>
    <w:rsid w:val="00E0530B"/>
    <w:rPr>
      <w:rFonts w:eastAsiaTheme="minorHAnsi"/>
      <w:lang w:eastAsia="en-US"/>
    </w:rPr>
  </w:style>
  <w:style w:type="paragraph" w:customStyle="1" w:styleId="9E047834A8FA41D4BC32E59E067DD0272">
    <w:name w:val="9E047834A8FA41D4BC32E59E067DD0272"/>
    <w:rsid w:val="00E0530B"/>
    <w:rPr>
      <w:rFonts w:eastAsiaTheme="minorHAnsi"/>
      <w:lang w:eastAsia="en-US"/>
    </w:rPr>
  </w:style>
  <w:style w:type="paragraph" w:customStyle="1" w:styleId="467FA60FF00B4405A512B38444B0A3C0">
    <w:name w:val="467FA60FF00B4405A512B38444B0A3C0"/>
    <w:rsid w:val="00AE2289"/>
  </w:style>
  <w:style w:type="paragraph" w:customStyle="1" w:styleId="F312634F1E8E4FD5A8725667686BB2F8">
    <w:name w:val="F312634F1E8E4FD5A8725667686BB2F8"/>
    <w:rsid w:val="00AE2289"/>
  </w:style>
  <w:style w:type="paragraph" w:customStyle="1" w:styleId="982DAEDDDF8C45B3BABAD7EE00619C92">
    <w:name w:val="982DAEDDDF8C45B3BABAD7EE00619C92"/>
    <w:rsid w:val="00AE2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F007-3E6A-4527-B721-53A02157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 STAGIAIRE</dc:creator>
  <cp:lastModifiedBy>02 STAGIAIRE</cp:lastModifiedBy>
  <cp:revision>3</cp:revision>
  <cp:lastPrinted>2020-01-08T13:46:00Z</cp:lastPrinted>
  <dcterms:created xsi:type="dcterms:W3CDTF">2020-03-06T14:04:00Z</dcterms:created>
  <dcterms:modified xsi:type="dcterms:W3CDTF">2020-03-06T14:17:00Z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 DE STRASBOURG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