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5877" w:type="dxa"/>
        <w:tblInd w:w="-318" w:type="dxa"/>
        <w:tblLook w:val="04A0" w:firstRow="1" w:lastRow="0" w:firstColumn="1" w:lastColumn="0" w:noHBand="0" w:noVBand="1"/>
      </w:tblPr>
      <w:tblGrid>
        <w:gridCol w:w="1745"/>
        <w:gridCol w:w="7087"/>
        <w:gridCol w:w="7045"/>
      </w:tblGrid>
      <w:tr w:rsidR="00114977" w:rsidRPr="00A636FB" w14:paraId="5015A82C" w14:textId="77777777" w:rsidTr="00643DE8">
        <w:tc>
          <w:tcPr>
            <w:tcW w:w="8832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56AEECEE" w14:textId="77777777" w:rsidR="00114977" w:rsidRPr="00A636FB" w:rsidRDefault="00114977" w:rsidP="00114977">
            <w:pPr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A636FB">
              <w:rPr>
                <w:rFonts w:ascii="Arial" w:hAnsi="Arial" w:cs="Arial"/>
                <w:b/>
                <w:sz w:val="22"/>
                <w:szCs w:val="22"/>
              </w:rPr>
              <w:t>ntrée 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+ Problématique </w:t>
            </w:r>
            <w:r w:rsidRPr="00A636FB"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</w:p>
        </w:tc>
        <w:tc>
          <w:tcPr>
            <w:tcW w:w="7045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0FC4398F" w14:textId="52BA4AF0" w:rsidR="00114977" w:rsidRDefault="00551909" w:rsidP="00114977">
            <w:pPr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Objectifs et production finale : </w:t>
            </w:r>
          </w:p>
          <w:p w14:paraId="75E0E748" w14:textId="77777777" w:rsidR="00114977" w:rsidRPr="00A636FB" w:rsidRDefault="00114977" w:rsidP="00114977">
            <w:pPr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3DE8" w:rsidRPr="00A636FB" w14:paraId="68FD4FA4" w14:textId="77777777" w:rsidTr="00643DE8">
        <w:tc>
          <w:tcPr>
            <w:tcW w:w="1745" w:type="dxa"/>
          </w:tcPr>
          <w:p w14:paraId="69E172EE" w14:textId="77777777" w:rsidR="00FF0251" w:rsidRPr="00A636FB" w:rsidRDefault="00FF0251" w:rsidP="00907B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02F13A" w14:textId="77777777" w:rsidR="00FF0251" w:rsidRPr="00A636FB" w:rsidRDefault="00FF0251" w:rsidP="00907B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36FB">
              <w:rPr>
                <w:rFonts w:ascii="Arial" w:hAnsi="Arial" w:cs="Arial"/>
                <w:b/>
                <w:sz w:val="22"/>
                <w:szCs w:val="22"/>
              </w:rPr>
              <w:t>DOMAINE</w:t>
            </w:r>
          </w:p>
        </w:tc>
        <w:tc>
          <w:tcPr>
            <w:tcW w:w="7087" w:type="dxa"/>
          </w:tcPr>
          <w:p w14:paraId="50ECEC9A" w14:textId="77777777" w:rsidR="00FF0251" w:rsidRPr="00A636FB" w:rsidRDefault="00FF0251" w:rsidP="00907B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3DA211" w14:textId="3298C6BD" w:rsidR="00FF0251" w:rsidRPr="00A636FB" w:rsidRDefault="00FF0251" w:rsidP="00907B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36FB">
              <w:rPr>
                <w:rFonts w:ascii="Arial" w:hAnsi="Arial" w:cs="Arial"/>
                <w:b/>
                <w:sz w:val="22"/>
                <w:szCs w:val="22"/>
              </w:rPr>
              <w:t>COMPETENCES travaillées</w:t>
            </w:r>
            <w:r w:rsidR="008A61F9">
              <w:rPr>
                <w:rFonts w:ascii="Arial" w:hAnsi="Arial" w:cs="Arial"/>
                <w:b/>
                <w:sz w:val="22"/>
                <w:szCs w:val="22"/>
              </w:rPr>
              <w:t xml:space="preserve"> (cycle 3)</w:t>
            </w:r>
          </w:p>
        </w:tc>
        <w:tc>
          <w:tcPr>
            <w:tcW w:w="7045" w:type="dxa"/>
          </w:tcPr>
          <w:p w14:paraId="537F4303" w14:textId="77777777" w:rsidR="00FF0251" w:rsidRPr="00A636FB" w:rsidRDefault="00FF0251" w:rsidP="00907B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3AA5F3" w14:textId="77777777" w:rsidR="00FF0251" w:rsidRPr="00A636FB" w:rsidRDefault="00FF0251" w:rsidP="00907B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36FB">
              <w:rPr>
                <w:rFonts w:ascii="Arial" w:hAnsi="Arial" w:cs="Arial"/>
                <w:b/>
                <w:sz w:val="22"/>
                <w:szCs w:val="22"/>
              </w:rPr>
              <w:t>ACTIVITES</w:t>
            </w:r>
          </w:p>
        </w:tc>
      </w:tr>
      <w:tr w:rsidR="00643DE8" w:rsidRPr="00A636FB" w14:paraId="674A90EC" w14:textId="77777777" w:rsidTr="00643DE8">
        <w:tc>
          <w:tcPr>
            <w:tcW w:w="1745" w:type="dxa"/>
          </w:tcPr>
          <w:p w14:paraId="58E523CA" w14:textId="77777777" w:rsidR="00FF0251" w:rsidRPr="00A636FB" w:rsidRDefault="00FF0251" w:rsidP="00907BA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636FB">
              <w:rPr>
                <w:rFonts w:ascii="Arial" w:hAnsi="Arial" w:cs="Arial"/>
                <w:b/>
                <w:sz w:val="22"/>
                <w:szCs w:val="22"/>
              </w:rPr>
              <w:t>Lire</w:t>
            </w:r>
          </w:p>
          <w:p w14:paraId="699AD4B9" w14:textId="77777777" w:rsidR="00FF0251" w:rsidRPr="00A636FB" w:rsidRDefault="00FF0251" w:rsidP="00907BA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</w:tcPr>
          <w:p w14:paraId="73DF9CF6" w14:textId="77777777" w:rsidR="00FF0251" w:rsidRPr="00A636FB" w:rsidRDefault="00FF0251" w:rsidP="00907BA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636FB">
              <w:rPr>
                <w:rFonts w:ascii="Arial" w:hAnsi="Arial" w:cs="Arial"/>
                <w:sz w:val="22"/>
                <w:szCs w:val="22"/>
              </w:rPr>
              <w:t xml:space="preserve">Lire avec fluidité </w:t>
            </w:r>
          </w:p>
          <w:p w14:paraId="64958ED0" w14:textId="27785EC9" w:rsidR="00FF0251" w:rsidRPr="00A636FB" w:rsidRDefault="00FF0251" w:rsidP="00907BA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636FB">
              <w:rPr>
                <w:rFonts w:ascii="Arial" w:hAnsi="Arial" w:cs="Arial"/>
                <w:sz w:val="22"/>
                <w:szCs w:val="22"/>
              </w:rPr>
              <w:t xml:space="preserve">Comprendre un texte littéraire et </w:t>
            </w:r>
            <w:r w:rsidR="00027907">
              <w:rPr>
                <w:rFonts w:ascii="Arial" w:hAnsi="Arial" w:cs="Arial"/>
                <w:sz w:val="22"/>
                <w:szCs w:val="22"/>
              </w:rPr>
              <w:t>se l’approprier</w:t>
            </w:r>
          </w:p>
          <w:p w14:paraId="5894AEBB" w14:textId="77777777" w:rsidR="00FF0251" w:rsidRPr="00A636FB" w:rsidRDefault="00FF0251" w:rsidP="00907BA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636FB">
              <w:rPr>
                <w:rFonts w:ascii="Arial" w:hAnsi="Arial" w:cs="Arial"/>
                <w:sz w:val="22"/>
                <w:szCs w:val="22"/>
              </w:rPr>
              <w:t>Comprendre des textes, des documents, des images et les interpréter</w:t>
            </w:r>
          </w:p>
          <w:p w14:paraId="5B002EB9" w14:textId="68DB2287" w:rsidR="00FF0251" w:rsidRPr="00A636FB" w:rsidRDefault="00FF0251" w:rsidP="00907BA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636FB">
              <w:rPr>
                <w:rFonts w:ascii="Arial" w:hAnsi="Arial" w:cs="Arial"/>
                <w:sz w:val="22"/>
                <w:szCs w:val="22"/>
              </w:rPr>
              <w:t>Contrôler sa compréhension</w:t>
            </w:r>
            <w:r w:rsidR="00E909A8">
              <w:rPr>
                <w:rFonts w:ascii="Arial" w:hAnsi="Arial" w:cs="Arial"/>
                <w:sz w:val="22"/>
                <w:szCs w:val="22"/>
              </w:rPr>
              <w:t xml:space="preserve"> et devenir</w:t>
            </w:r>
            <w:r w:rsidRPr="00A636FB">
              <w:rPr>
                <w:rFonts w:ascii="Arial" w:hAnsi="Arial" w:cs="Arial"/>
                <w:sz w:val="22"/>
                <w:szCs w:val="22"/>
              </w:rPr>
              <w:t xml:space="preserve"> un lecteur autonome</w:t>
            </w:r>
          </w:p>
        </w:tc>
        <w:tc>
          <w:tcPr>
            <w:tcW w:w="7045" w:type="dxa"/>
          </w:tcPr>
          <w:p w14:paraId="310D538A" w14:textId="77777777" w:rsidR="00FF0251" w:rsidRPr="00A636FB" w:rsidRDefault="00FF0251" w:rsidP="00907BA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3DE8" w:rsidRPr="00A636FB" w14:paraId="18D7EE35" w14:textId="77777777" w:rsidTr="00643DE8">
        <w:tc>
          <w:tcPr>
            <w:tcW w:w="1745" w:type="dxa"/>
          </w:tcPr>
          <w:p w14:paraId="32A6ABFD" w14:textId="77777777" w:rsidR="00FF0251" w:rsidRPr="00A636FB" w:rsidRDefault="00FF0251" w:rsidP="00907BA2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636FB">
              <w:rPr>
                <w:rFonts w:ascii="Arial" w:hAnsi="Arial" w:cs="Arial"/>
                <w:b/>
                <w:sz w:val="22"/>
                <w:szCs w:val="22"/>
              </w:rPr>
              <w:t>Ecrire</w:t>
            </w:r>
          </w:p>
          <w:p w14:paraId="3F20E539" w14:textId="77777777" w:rsidR="00FF0251" w:rsidRPr="00A636FB" w:rsidRDefault="00FF0251" w:rsidP="00907BA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</w:tcPr>
          <w:p w14:paraId="6C068D27" w14:textId="77777777" w:rsidR="00FF0251" w:rsidRPr="00A636FB" w:rsidRDefault="00FF0251" w:rsidP="00907BA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636FB">
              <w:rPr>
                <w:rFonts w:ascii="Arial" w:hAnsi="Arial" w:cs="Arial"/>
                <w:sz w:val="22"/>
                <w:szCs w:val="22"/>
              </w:rPr>
              <w:t>Ecrire à la main de manière fluide et efficace</w:t>
            </w:r>
          </w:p>
          <w:p w14:paraId="5261FC04" w14:textId="7458B508" w:rsidR="00FF0251" w:rsidRPr="00A636FB" w:rsidRDefault="00E909A8" w:rsidP="00907BA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Maîtriser</w:t>
            </w:r>
            <w:r w:rsidR="00FF0251" w:rsidRPr="00A636F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les bases d</w:t>
            </w:r>
            <w:r w:rsidR="00233773">
              <w:rPr>
                <w:rFonts w:ascii="Arial" w:hAnsi="Arial" w:cs="Arial"/>
                <w:sz w:val="22"/>
                <w:szCs w:val="22"/>
              </w:rPr>
              <w:t>e</w:t>
            </w:r>
            <w:r w:rsidR="008C2AE2">
              <w:rPr>
                <w:rFonts w:ascii="Arial" w:hAnsi="Arial" w:cs="Arial"/>
                <w:sz w:val="22"/>
                <w:szCs w:val="22"/>
              </w:rPr>
              <w:t xml:space="preserve"> l’écriture</w:t>
            </w:r>
            <w:r w:rsidR="00FF0251" w:rsidRPr="00A636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C2AE2">
              <w:rPr>
                <w:rFonts w:ascii="Arial" w:hAnsi="Arial" w:cs="Arial"/>
                <w:sz w:val="22"/>
                <w:szCs w:val="22"/>
              </w:rPr>
              <w:t xml:space="preserve">au </w:t>
            </w:r>
            <w:r w:rsidR="00FF0251" w:rsidRPr="00A636FB">
              <w:rPr>
                <w:rFonts w:ascii="Arial" w:hAnsi="Arial" w:cs="Arial"/>
                <w:sz w:val="22"/>
                <w:szCs w:val="22"/>
              </w:rPr>
              <w:t>clavier</w:t>
            </w:r>
          </w:p>
          <w:p w14:paraId="140E0032" w14:textId="77777777" w:rsidR="00FF0251" w:rsidRPr="00A636FB" w:rsidRDefault="00FF0251" w:rsidP="00907BA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636FB">
              <w:rPr>
                <w:rFonts w:ascii="Arial" w:hAnsi="Arial" w:cs="Arial"/>
                <w:sz w:val="22"/>
                <w:szCs w:val="22"/>
              </w:rPr>
              <w:t>Recourir à l’écriture pour réfléchir et pour apprendre</w:t>
            </w:r>
          </w:p>
          <w:p w14:paraId="4BD7E5A6" w14:textId="699A8143" w:rsidR="0095114D" w:rsidRDefault="0095114D" w:rsidP="00907BA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Rédiger des écrits variés</w:t>
            </w:r>
          </w:p>
          <w:p w14:paraId="058E5474" w14:textId="6845764A" w:rsidR="00FF0251" w:rsidRPr="00A636FB" w:rsidRDefault="00FF0251" w:rsidP="00907BA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636FB">
              <w:rPr>
                <w:rFonts w:ascii="Arial" w:hAnsi="Arial" w:cs="Arial"/>
                <w:sz w:val="22"/>
                <w:szCs w:val="22"/>
              </w:rPr>
              <w:t>Réécr</w:t>
            </w:r>
            <w:bookmarkStart w:id="0" w:name="_GoBack"/>
            <w:bookmarkEnd w:id="0"/>
            <w:r w:rsidRPr="00A636FB">
              <w:rPr>
                <w:rFonts w:ascii="Arial" w:hAnsi="Arial" w:cs="Arial"/>
                <w:sz w:val="22"/>
                <w:szCs w:val="22"/>
              </w:rPr>
              <w:t>ire à partir de nouvelles consignes ou faire évoluer son texte</w:t>
            </w:r>
          </w:p>
          <w:p w14:paraId="404A9293" w14:textId="77777777" w:rsidR="00FF0251" w:rsidRPr="00A636FB" w:rsidRDefault="00FF0251" w:rsidP="00907BA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636FB">
              <w:rPr>
                <w:rFonts w:ascii="Arial" w:hAnsi="Arial" w:cs="Arial"/>
                <w:sz w:val="22"/>
                <w:szCs w:val="22"/>
              </w:rPr>
              <w:t>Prendre en compte les normes de l’écrit pour formuler, transcrire, réviser</w:t>
            </w:r>
          </w:p>
        </w:tc>
        <w:tc>
          <w:tcPr>
            <w:tcW w:w="7045" w:type="dxa"/>
          </w:tcPr>
          <w:p w14:paraId="07E5E03B" w14:textId="77777777" w:rsidR="00FF0251" w:rsidRPr="00A636FB" w:rsidRDefault="00FF0251" w:rsidP="00907BA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3DE8" w:rsidRPr="00A636FB" w14:paraId="47591BAC" w14:textId="77777777" w:rsidTr="00643DE8">
        <w:tc>
          <w:tcPr>
            <w:tcW w:w="1745" w:type="dxa"/>
          </w:tcPr>
          <w:p w14:paraId="2EDA38A1" w14:textId="77777777" w:rsidR="00FF0251" w:rsidRPr="00A636FB" w:rsidRDefault="00FF0251" w:rsidP="00907BA2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636FB">
              <w:rPr>
                <w:rFonts w:ascii="Arial" w:hAnsi="Arial" w:cs="Arial"/>
                <w:b/>
                <w:sz w:val="22"/>
                <w:szCs w:val="22"/>
              </w:rPr>
              <w:t>Dire</w:t>
            </w:r>
          </w:p>
          <w:p w14:paraId="04BB3602" w14:textId="77777777" w:rsidR="00FF0251" w:rsidRPr="00A636FB" w:rsidRDefault="00FF0251" w:rsidP="00907BA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</w:tcPr>
          <w:p w14:paraId="1D13A313" w14:textId="47E53459" w:rsidR="00FF0251" w:rsidRPr="00A636FB" w:rsidRDefault="00FF0251" w:rsidP="00907BA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636FB">
              <w:rPr>
                <w:rFonts w:ascii="Arial" w:hAnsi="Arial" w:cs="Arial"/>
                <w:sz w:val="22"/>
                <w:szCs w:val="22"/>
              </w:rPr>
              <w:t xml:space="preserve">Ecouter pour comprendre un message oral, un </w:t>
            </w:r>
            <w:r w:rsidR="0095114D">
              <w:rPr>
                <w:rFonts w:ascii="Arial" w:hAnsi="Arial" w:cs="Arial"/>
                <w:sz w:val="22"/>
                <w:szCs w:val="22"/>
              </w:rPr>
              <w:t>propos</w:t>
            </w:r>
            <w:r w:rsidR="00594341">
              <w:rPr>
                <w:rFonts w:ascii="Arial" w:hAnsi="Arial" w:cs="Arial"/>
                <w:sz w:val="22"/>
                <w:szCs w:val="22"/>
              </w:rPr>
              <w:t>, un discours, un texte lu</w:t>
            </w:r>
          </w:p>
          <w:p w14:paraId="1563DA29" w14:textId="77777777" w:rsidR="00FF0251" w:rsidRPr="00A636FB" w:rsidRDefault="00FF0251" w:rsidP="00907BA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636FB">
              <w:rPr>
                <w:rFonts w:ascii="Arial" w:hAnsi="Arial" w:cs="Arial"/>
                <w:sz w:val="22"/>
                <w:szCs w:val="22"/>
              </w:rPr>
              <w:t>Parler en prenant en compte son auditoire</w:t>
            </w:r>
          </w:p>
          <w:p w14:paraId="32B50A99" w14:textId="3934DB50" w:rsidR="00FF0251" w:rsidRPr="00A636FB" w:rsidRDefault="00FF0251" w:rsidP="00907BA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636FB">
              <w:rPr>
                <w:rFonts w:ascii="Arial" w:hAnsi="Arial" w:cs="Arial"/>
                <w:sz w:val="22"/>
                <w:szCs w:val="22"/>
              </w:rPr>
              <w:t>Participer à des échanges dans des situations diver</w:t>
            </w:r>
            <w:r w:rsidR="00594341">
              <w:rPr>
                <w:rFonts w:ascii="Arial" w:hAnsi="Arial" w:cs="Arial"/>
                <w:sz w:val="22"/>
                <w:szCs w:val="22"/>
              </w:rPr>
              <w:t>ses</w:t>
            </w:r>
          </w:p>
          <w:p w14:paraId="66644FCB" w14:textId="269AED8B" w:rsidR="00FF0251" w:rsidRPr="00A636FB" w:rsidRDefault="00FF0251" w:rsidP="00907BA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636FB">
              <w:rPr>
                <w:rFonts w:ascii="Arial" w:hAnsi="Arial" w:cs="Arial"/>
                <w:sz w:val="22"/>
                <w:szCs w:val="22"/>
              </w:rPr>
              <w:t xml:space="preserve">Adopter une attitude critique par rapport </w:t>
            </w:r>
            <w:r w:rsidR="005C0505">
              <w:rPr>
                <w:rFonts w:ascii="Arial" w:hAnsi="Arial" w:cs="Arial"/>
                <w:sz w:val="22"/>
                <w:szCs w:val="22"/>
              </w:rPr>
              <w:t>à son propos</w:t>
            </w:r>
          </w:p>
        </w:tc>
        <w:tc>
          <w:tcPr>
            <w:tcW w:w="7045" w:type="dxa"/>
          </w:tcPr>
          <w:p w14:paraId="31561223" w14:textId="77777777" w:rsidR="00FF0251" w:rsidRPr="00A636FB" w:rsidRDefault="00FF0251" w:rsidP="00907BA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4E029810" w14:textId="77777777" w:rsidR="00FF0251" w:rsidRPr="00A636FB" w:rsidRDefault="00FF0251" w:rsidP="00907BA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5490855D" w14:textId="77777777" w:rsidR="00FF0251" w:rsidRPr="00A636FB" w:rsidRDefault="00FF0251" w:rsidP="00907BA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3DE8" w:rsidRPr="00A636FB" w14:paraId="25F55AD4" w14:textId="77777777" w:rsidTr="00643DE8">
        <w:tc>
          <w:tcPr>
            <w:tcW w:w="1745" w:type="dxa"/>
          </w:tcPr>
          <w:p w14:paraId="40877BFD" w14:textId="62B65230" w:rsidR="00FF0251" w:rsidRPr="00BA2873" w:rsidRDefault="00BA2873" w:rsidP="00907BA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A2873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B47BB7">
              <w:rPr>
                <w:rFonts w:ascii="Arial" w:hAnsi="Arial" w:cs="Arial"/>
                <w:b/>
                <w:sz w:val="20"/>
                <w:szCs w:val="20"/>
              </w:rPr>
              <w:t>omprendre</w:t>
            </w:r>
            <w:r w:rsidRPr="00BA2873">
              <w:rPr>
                <w:rFonts w:ascii="Arial" w:hAnsi="Arial" w:cs="Arial"/>
                <w:b/>
                <w:sz w:val="20"/>
                <w:szCs w:val="20"/>
              </w:rPr>
              <w:t xml:space="preserve"> le fonctionnement de</w:t>
            </w:r>
            <w:r w:rsidR="00FF0251" w:rsidRPr="00BA2873">
              <w:rPr>
                <w:rFonts w:ascii="Arial" w:hAnsi="Arial" w:cs="Arial"/>
                <w:b/>
                <w:sz w:val="20"/>
                <w:szCs w:val="20"/>
              </w:rPr>
              <w:t xml:space="preserve"> la langue</w:t>
            </w:r>
          </w:p>
          <w:p w14:paraId="28AC5EF8" w14:textId="77777777" w:rsidR="00FF0251" w:rsidRPr="00A636FB" w:rsidRDefault="00FF0251" w:rsidP="00907BA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</w:tcPr>
          <w:p w14:paraId="77C42390" w14:textId="77777777" w:rsidR="00FF0251" w:rsidRPr="00A636FB" w:rsidRDefault="00FF0251" w:rsidP="00907BA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636FB">
              <w:rPr>
                <w:rFonts w:ascii="Arial" w:hAnsi="Arial" w:cs="Arial"/>
                <w:sz w:val="22"/>
                <w:szCs w:val="22"/>
              </w:rPr>
              <w:t>Maîtriser les relations entre l’oral et l’écrit</w:t>
            </w:r>
          </w:p>
          <w:p w14:paraId="00509C7C" w14:textId="77777777" w:rsidR="002A510D" w:rsidRDefault="002A510D" w:rsidP="00907BA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636FB">
              <w:rPr>
                <w:rFonts w:ascii="Arial" w:hAnsi="Arial" w:cs="Arial"/>
                <w:sz w:val="22"/>
                <w:szCs w:val="22"/>
              </w:rPr>
              <w:t>Identifier les constituants d’une phrase simple</w:t>
            </w:r>
            <w:r>
              <w:rPr>
                <w:rFonts w:ascii="Arial" w:hAnsi="Arial" w:cs="Arial"/>
                <w:sz w:val="22"/>
                <w:szCs w:val="22"/>
              </w:rPr>
              <w:t xml:space="preserve">, se repérer dans une phrase </w:t>
            </w:r>
            <w:r w:rsidRPr="00A636FB">
              <w:rPr>
                <w:rFonts w:ascii="Arial" w:hAnsi="Arial" w:cs="Arial"/>
                <w:sz w:val="22"/>
                <w:szCs w:val="22"/>
              </w:rPr>
              <w:t xml:space="preserve">complexe </w:t>
            </w:r>
          </w:p>
          <w:p w14:paraId="3A95327D" w14:textId="1493AC95" w:rsidR="00FF0251" w:rsidRPr="00A636FB" w:rsidRDefault="00FF0251" w:rsidP="00907BA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636FB">
              <w:rPr>
                <w:rFonts w:ascii="Arial" w:hAnsi="Arial" w:cs="Arial"/>
                <w:sz w:val="22"/>
                <w:szCs w:val="22"/>
              </w:rPr>
              <w:t xml:space="preserve">Acquérir l’orthographe </w:t>
            </w:r>
            <w:r w:rsidR="005C0505">
              <w:rPr>
                <w:rFonts w:ascii="Arial" w:hAnsi="Arial" w:cs="Arial"/>
                <w:sz w:val="22"/>
                <w:szCs w:val="22"/>
              </w:rPr>
              <w:t>grammaticale</w:t>
            </w:r>
          </w:p>
          <w:p w14:paraId="08BEC3E6" w14:textId="2467640A" w:rsidR="00FF0251" w:rsidRPr="00A636FB" w:rsidRDefault="002A510D" w:rsidP="00907BA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Enrichir le lexique</w:t>
            </w:r>
          </w:p>
          <w:p w14:paraId="2C989B59" w14:textId="020D02ED" w:rsidR="00FF0251" w:rsidRPr="00A636FB" w:rsidRDefault="002A510D" w:rsidP="00907BA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Acquérir l’orthographe lexicale</w:t>
            </w:r>
          </w:p>
        </w:tc>
        <w:tc>
          <w:tcPr>
            <w:tcW w:w="7045" w:type="dxa"/>
          </w:tcPr>
          <w:p w14:paraId="758C646B" w14:textId="77777777" w:rsidR="00FF0251" w:rsidRPr="00A636FB" w:rsidRDefault="00FF0251" w:rsidP="00907BA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3DE8" w:rsidRPr="00A636FB" w14:paraId="526C13C5" w14:textId="77777777" w:rsidTr="00643DE8">
        <w:trPr>
          <w:trHeight w:val="691"/>
        </w:trPr>
        <w:tc>
          <w:tcPr>
            <w:tcW w:w="1745" w:type="dxa"/>
          </w:tcPr>
          <w:p w14:paraId="50AA3787" w14:textId="6DDCD87C" w:rsidR="00FF0251" w:rsidRPr="00A636FB" w:rsidRDefault="00FF0251" w:rsidP="00907BA2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636FB">
              <w:rPr>
                <w:rFonts w:ascii="Arial" w:hAnsi="Arial" w:cs="Arial"/>
                <w:b/>
                <w:sz w:val="22"/>
                <w:szCs w:val="22"/>
              </w:rPr>
              <w:t>Développer une culture artistique et littéraire</w:t>
            </w:r>
          </w:p>
        </w:tc>
        <w:tc>
          <w:tcPr>
            <w:tcW w:w="7087" w:type="dxa"/>
          </w:tcPr>
          <w:p w14:paraId="2D211EF2" w14:textId="77777777" w:rsidR="00FF0251" w:rsidRDefault="00FF0251" w:rsidP="00907BA2">
            <w:pPr>
              <w:spacing w:after="120"/>
              <w:rPr>
                <w:rFonts w:ascii="Arial" w:hAnsi="Arial"/>
                <w:sz w:val="22"/>
                <w:szCs w:val="22"/>
              </w:rPr>
            </w:pPr>
            <w:r w:rsidRPr="00A636FB">
              <w:rPr>
                <w:rFonts w:ascii="Arial" w:hAnsi="Arial"/>
                <w:sz w:val="22"/>
                <w:szCs w:val="22"/>
              </w:rPr>
              <w:t xml:space="preserve">Apprentissage de l’interprétation </w:t>
            </w:r>
          </w:p>
          <w:p w14:paraId="6AACE8C7" w14:textId="2C9B0E3F" w:rsidR="00FF0251" w:rsidRPr="00A636FB" w:rsidRDefault="008328F5" w:rsidP="00907BA2">
            <w:pPr>
              <w:spacing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</w:t>
            </w:r>
            <w:r w:rsidR="00FF0251" w:rsidRPr="00A636FB">
              <w:rPr>
                <w:rFonts w:ascii="Arial" w:hAnsi="Arial"/>
                <w:sz w:val="22"/>
                <w:szCs w:val="22"/>
              </w:rPr>
              <w:t>ormation d’un jugement esthétique</w:t>
            </w:r>
          </w:p>
        </w:tc>
        <w:tc>
          <w:tcPr>
            <w:tcW w:w="7045" w:type="dxa"/>
          </w:tcPr>
          <w:p w14:paraId="066B0359" w14:textId="77777777" w:rsidR="00FF0251" w:rsidRPr="00A636FB" w:rsidRDefault="00FF0251" w:rsidP="00907BA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3F4D60" w14:textId="4A46D6A2" w:rsidR="00B05111" w:rsidRDefault="004C26FF">
      <w:r>
        <w:t>Remarque : T</w:t>
      </w:r>
      <w:r w:rsidR="00C2264B">
        <w:t>outes les compétences ne peuvent être travaillées dans une même séquence</w:t>
      </w:r>
      <w:r w:rsidR="00757E27">
        <w:t>. T</w:t>
      </w:r>
      <w:r>
        <w:t xml:space="preserve">ous les domaines ne </w:t>
      </w:r>
      <w:r w:rsidR="00BD58F9">
        <w:t xml:space="preserve">sont pas </w:t>
      </w:r>
      <w:r w:rsidR="00757E27">
        <w:t xml:space="preserve">non plus </w:t>
      </w:r>
      <w:r>
        <w:t>présent</w:t>
      </w:r>
      <w:r w:rsidR="00177023">
        <w:t>s</w:t>
      </w:r>
      <w:r>
        <w:t xml:space="preserve"> dans une séquence</w:t>
      </w:r>
      <w:r w:rsidR="00177023">
        <w:t>. Il est important d</w:t>
      </w:r>
      <w:r w:rsidR="00BD58F9">
        <w:t>’en</w:t>
      </w:r>
      <w:r w:rsidR="00177023">
        <w:t xml:space="preserve"> privilégier </w:t>
      </w:r>
      <w:r w:rsidR="00BD58F9">
        <w:t>un, centré autour de l’objectif et de la production finale</w:t>
      </w:r>
      <w:r w:rsidR="00757E27">
        <w:t>,</w:t>
      </w:r>
      <w:r w:rsidR="00BD58F9">
        <w:t xml:space="preserve"> afin de ne pas</w:t>
      </w:r>
      <w:r w:rsidR="00177023">
        <w:t xml:space="preserve"> se disperser.</w:t>
      </w:r>
    </w:p>
    <w:sectPr w:rsidR="00B05111" w:rsidSect="00FF0251">
      <w:pgSz w:w="16840" w:h="11900" w:orient="landscape"/>
      <w:pgMar w:top="567" w:right="851" w:bottom="28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51"/>
    <w:rsid w:val="000030AA"/>
    <w:rsid w:val="00027907"/>
    <w:rsid w:val="00032B95"/>
    <w:rsid w:val="0004348A"/>
    <w:rsid w:val="000631F3"/>
    <w:rsid w:val="00070D2F"/>
    <w:rsid w:val="000C5EDA"/>
    <w:rsid w:val="000D64FB"/>
    <w:rsid w:val="000E4DEF"/>
    <w:rsid w:val="000F7262"/>
    <w:rsid w:val="00114977"/>
    <w:rsid w:val="0016763F"/>
    <w:rsid w:val="00167A7B"/>
    <w:rsid w:val="00175AE9"/>
    <w:rsid w:val="00177023"/>
    <w:rsid w:val="001F456A"/>
    <w:rsid w:val="00233773"/>
    <w:rsid w:val="002A2052"/>
    <w:rsid w:val="002A510D"/>
    <w:rsid w:val="00326E35"/>
    <w:rsid w:val="003279FC"/>
    <w:rsid w:val="00410173"/>
    <w:rsid w:val="00431CF6"/>
    <w:rsid w:val="00490D5A"/>
    <w:rsid w:val="004945B7"/>
    <w:rsid w:val="004C26FF"/>
    <w:rsid w:val="004D51DD"/>
    <w:rsid w:val="00535A4E"/>
    <w:rsid w:val="00551909"/>
    <w:rsid w:val="00563652"/>
    <w:rsid w:val="00581524"/>
    <w:rsid w:val="00594341"/>
    <w:rsid w:val="005C0505"/>
    <w:rsid w:val="005D4E83"/>
    <w:rsid w:val="00643DE8"/>
    <w:rsid w:val="006B3750"/>
    <w:rsid w:val="007511E3"/>
    <w:rsid w:val="00757E27"/>
    <w:rsid w:val="0078246D"/>
    <w:rsid w:val="0078485D"/>
    <w:rsid w:val="008053C2"/>
    <w:rsid w:val="008328F5"/>
    <w:rsid w:val="00834CD9"/>
    <w:rsid w:val="008800DE"/>
    <w:rsid w:val="008A1F08"/>
    <w:rsid w:val="008A2154"/>
    <w:rsid w:val="008A61F9"/>
    <w:rsid w:val="008C2AE2"/>
    <w:rsid w:val="0095114D"/>
    <w:rsid w:val="00963617"/>
    <w:rsid w:val="009A4449"/>
    <w:rsid w:val="009A46A7"/>
    <w:rsid w:val="009A7870"/>
    <w:rsid w:val="009B0D50"/>
    <w:rsid w:val="00A56502"/>
    <w:rsid w:val="00A60B24"/>
    <w:rsid w:val="00AB3D61"/>
    <w:rsid w:val="00AC252A"/>
    <w:rsid w:val="00AD10CA"/>
    <w:rsid w:val="00B05111"/>
    <w:rsid w:val="00B217ED"/>
    <w:rsid w:val="00B2584E"/>
    <w:rsid w:val="00B47BB7"/>
    <w:rsid w:val="00BA2873"/>
    <w:rsid w:val="00BC484C"/>
    <w:rsid w:val="00BD58F9"/>
    <w:rsid w:val="00C2264B"/>
    <w:rsid w:val="00C854A3"/>
    <w:rsid w:val="00CB4201"/>
    <w:rsid w:val="00CD4498"/>
    <w:rsid w:val="00CD467F"/>
    <w:rsid w:val="00DA7874"/>
    <w:rsid w:val="00DC3063"/>
    <w:rsid w:val="00DF01B1"/>
    <w:rsid w:val="00DF3C96"/>
    <w:rsid w:val="00E353B9"/>
    <w:rsid w:val="00E909A8"/>
    <w:rsid w:val="00EC6DEB"/>
    <w:rsid w:val="00EF5060"/>
    <w:rsid w:val="00EF5805"/>
    <w:rsid w:val="00FA0E8C"/>
    <w:rsid w:val="00FF025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A145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251"/>
    <w:pPr>
      <w:spacing w:after="0"/>
    </w:pPr>
    <w:rPr>
      <w:rFonts w:ascii="Times New Roman" w:eastAsia="SimSun" w:hAnsi="Times New Roman" w:cs="Times New Roman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F025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ASSCHE VALERIE</dc:creator>
  <cp:keywords/>
  <dc:description/>
  <cp:lastModifiedBy>Pascal Van Assche</cp:lastModifiedBy>
  <cp:revision>4</cp:revision>
  <cp:lastPrinted>2016-05-21T12:01:00Z</cp:lastPrinted>
  <dcterms:created xsi:type="dcterms:W3CDTF">2018-11-06T21:12:00Z</dcterms:created>
  <dcterms:modified xsi:type="dcterms:W3CDTF">2018-11-07T15:13:00Z</dcterms:modified>
</cp:coreProperties>
</file>