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4" w:rsidRPr="00DE6484" w:rsidRDefault="00DE6484" w:rsidP="00844D48">
      <w:pPr>
        <w:shd w:val="clear" w:color="auto" w:fill="F2F2F2"/>
        <w:spacing w:after="45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ist</w:t>
      </w:r>
      <w:proofErr w:type="spellEnd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?</w:t>
      </w:r>
    </w:p>
    <w:p w:rsidR="00DE6484" w:rsidRPr="00DE6484" w:rsidRDefault="00DE6484" w:rsidP="00844D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Pläne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Schulabschluss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geht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sprechen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Gap-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Aber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genau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damit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eigentlich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gemeint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erklären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damit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DE6484" w:rsidRPr="00DE6484" w:rsidRDefault="00DE6484" w:rsidP="00844D4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44D48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9239250" cy="5743575"/>
            <wp:effectExtent l="0" t="0" r="0" b="9525"/>
            <wp:docPr id="1" name="Image 1" descr="Was ist ein Gap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 ist ein Gap Y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84" w:rsidRPr="00DE6484" w:rsidRDefault="00DE6484" w:rsidP="00844D48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du in der Regel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zwischen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zwei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Lebensabschnitten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nimmst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Beispiel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Abitur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abgeschlossenen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Möglichkeiten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gestalten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riesig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Beispiel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Gelegenheit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dieser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Manche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engagieren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Wohl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ihrer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Mitmenschen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wieder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andere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setzen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ehrenamtlich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ihre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Umwelt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Auch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Orientierungsstudium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möglich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schließlich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können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Studieninteressierte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währenddessen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ganz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Ruhe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herausfinden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welches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ihnen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So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Vorteile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nutzt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Dinge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wichtig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Lebenslauf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sondern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wirkt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positiv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Persönlichkeit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selbstständiger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selbstsicherer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sammelst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häufig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beruflich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wertvolle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Erfahrungen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weißt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Falle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Ende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DE6484" w:rsidRPr="00DE6484" w:rsidRDefault="00DE6484" w:rsidP="00844D48">
      <w:pPr>
        <w:shd w:val="clear" w:color="auto" w:fill="FFFFFF"/>
        <w:spacing w:before="360" w:after="192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Wege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führen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</w:t>
      </w:r>
      <w:proofErr w:type="spellEnd"/>
    </w:p>
    <w:p w:rsidR="00DE6484" w:rsidRPr="00DE6484" w:rsidRDefault="00DE6484" w:rsidP="00844D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genannten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"https://www.einstieg.com/gap-year/detail/work-and-travel.html" \o "Work and Travel"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Work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&amp;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Travel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reist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Gegend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finanzierst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Reisen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Gelegenheitsjobs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Bei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"https://www.einstieg.com/gap-year/detail/farm-und-rancharbeit.html" \o "Farm- und Rancharbeit"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Farm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-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und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Rancharbeit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kommst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Natur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übernimmst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Aufgaben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erhältst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Schlafplatz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Mahlzeiten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Als </w:t>
      </w:r>
      <w:hyperlink r:id="rId5" w:tgtFrame="_blank" w:tooltip="Au-pair" w:history="1">
        <w:r w:rsidRPr="00844D48">
          <w:rPr>
            <w:rFonts w:ascii="Arial" w:eastAsia="Times New Roman" w:hAnsi="Arial" w:cs="Arial"/>
            <w:color w:val="E86E0C"/>
            <w:sz w:val="24"/>
            <w:szCs w:val="24"/>
            <w:u w:val="single"/>
            <w:lang w:eastAsia="fr-FR"/>
          </w:rPr>
          <w:t>Au-pair</w:t>
        </w:r>
      </w:hyperlink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lebst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Gastfamilie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unterstützt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diese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Logis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Kinderbetreuung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Auch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"https://www.einstieg.com/gap-year/detail/auslandspraktikum.html" \o "Auslandspraktikum"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Auslandspraktikum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bietet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einfach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Welt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solltest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lieber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"https://www.einstieg.com/gap-year/detail/weltreise.html" \o "Weltreise"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Weltreise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soziales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Engagement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"https://www.einstieg.com/gap-year/detail/freiwilligendienst-im-ausland.html" \o "Freiwilligendienst im Ausland"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Freiwilligendienst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im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Ausland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absolvieren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erster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Linie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Sprachkenntnisse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Englisch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Französisch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Spanisch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verbessern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"https://www.einstieg.com/gap-year/detail/sprachreise.html" \o "Sprachreise"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Sprachreise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entscheiden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gute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Auslandsaufenthalt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Junge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Leute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Durchschnitt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vorneherein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extrovertierter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Bei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ihrer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Rückkehr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Vergleich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ihren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Altersgenossen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aufgeschlossener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selbstsicherer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fanden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Psychologen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Friedrich-Schiller-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Universität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Jena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Rahmen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Umfrage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unter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insgesamt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741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Jugendlichen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Alter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14 bis 17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Jahren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heraus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DE6484" w:rsidRPr="00DE6484" w:rsidRDefault="00DE6484" w:rsidP="00844D48">
      <w:pPr>
        <w:shd w:val="clear" w:color="auto" w:fill="FFFFFF"/>
        <w:spacing w:before="360" w:after="192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Freiwilligendienst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Mit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Menschen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arbeiten</w:t>
      </w:r>
      <w:proofErr w:type="spellEnd"/>
    </w:p>
    <w:p w:rsidR="00DE6484" w:rsidRPr="00DE6484" w:rsidRDefault="00DE6484" w:rsidP="00844D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Aber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hierzulande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Freiwilligendienst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entscheidest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Persönlichkeit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Im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"https://www.einstieg.com/gap-year/detail/bundesfreiwilligendienst-fsj-und-fsj-kultur.html" \o "Bundesfreiwilligendienst, FSJ und FSJ Kultur"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Bundesfreiwilligendienst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, FSJ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und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FSJ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Kultur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(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Freiwilliges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Soziales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engagierst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sozialen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kulturellen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Einrichtungen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arbeitest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verschiedenen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Menschen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zusammen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genau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verbringst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hängt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Interessen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Angebot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Einrichtungen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ab.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Beispiel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Krankenhäusern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Kindergärten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Kirchengemeinden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Wohl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Menschen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einsetzen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dabei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Umgang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anderen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lernen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Schlägt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Herz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Flora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Fauna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"https://www.einstieg.com/gap-year/detail/freiwilliges-oekologisches-jahr-foej.html" \o "Freiwilliges Ökologisches Jahr"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Freiwilliges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Ökologisches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(FÖJ)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arbeitest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Freien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setzt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spezielle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Tierarten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seltene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Pflanzen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Landwirtschaft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den Wald,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ganzes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Naturschutzgebiet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Verbreitung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Umweltwissen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DE6484" w:rsidRPr="00DE6484" w:rsidRDefault="00DE6484" w:rsidP="00844D48">
      <w:pPr>
        <w:shd w:val="clear" w:color="auto" w:fill="FFFFFF"/>
        <w:spacing w:before="360" w:after="192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Mit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Studienvorbereitungsjahr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 die Uni</w:t>
      </w:r>
      <w:r w:rsidR="00844D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844D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olltest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längere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Auslandsreise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Ehrenamt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Gap-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Studienvorbereitung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nutzen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"https://www.einstieg.com/gap-year/detail/studienvorbereitungsjahr.html" \o "Studienvorbereitungsjahr" \t "_blank"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Studienvorbereitungsjahr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zwei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Semester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Kurse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Wunschhochschule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besuchen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vorausgesetzt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diese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bietet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Orientierungsjahr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an)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herausfinden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welches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meisten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interessiert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In der Regel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Studienfächer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nämlich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wenig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den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Fächern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Schule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gemeinsam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Bezeichnung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Studienvorbereitungsjahr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übrigens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Hochschule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Hochschule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verschieden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mal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nennt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generale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mal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fundamentale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mal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Orientierungsstudium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mal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foundation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Vorteile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solcher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Probejahre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immer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gleich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späteren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Studienabbruch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vermeiden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tatsächlich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Hochschule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weiterstudierst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Leistungen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Studienvorbereitungsjahr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anrechnen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lassen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DE6484" w:rsidRPr="00DE6484" w:rsidRDefault="00DE6484" w:rsidP="00844D48">
      <w:pPr>
        <w:shd w:val="clear" w:color="auto" w:fill="FFFFFF"/>
        <w:spacing w:before="360" w:after="192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kostet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</w:p>
    <w:p w:rsidR="00DE6484" w:rsidRPr="00DE6484" w:rsidRDefault="00DE6484" w:rsidP="00844D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Frage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finanziell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leisten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gibt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pauschale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Antwort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kommt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darauf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bislang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gelebt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hast.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solltest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also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rechtzeitig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überlegen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dieses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finanzieren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immer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bezahlt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Bei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Auslandsreise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Kosten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häufig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sogar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ziemlich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Damit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besseren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Überblick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möglichen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Kosten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bekommst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hier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"https://www.einstieg.com/gap-year/was-kostet-ein-gap-year.html" \o "Was kostet ein Gap Year?"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einen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Leitfaden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verlinkt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.</w: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E6484" w:rsidRPr="00DE6484" w:rsidRDefault="00DE6484" w:rsidP="00844D48">
      <w:pPr>
        <w:shd w:val="clear" w:color="auto" w:fill="FFFFFF"/>
        <w:spacing w:before="360" w:after="192" w:line="36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Tipps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Vorbereitung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</w:p>
    <w:p w:rsidR="00DE6484" w:rsidRPr="00DE6484" w:rsidRDefault="00DE6484" w:rsidP="00844D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Dingen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Leben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gilt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Es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geht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nichts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gute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Planung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Angebot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entschieden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hast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"https://www.einstieg.com/gap-year/was-kostet-ein-gap-year.html" \o "Was kostet ein Gap Year?"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Kosten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bzw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.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Finanzierung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dessen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bewusst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schon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der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Planung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Auszeit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beginnen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erklären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unserem</w:t>
      </w:r>
      <w:proofErr w:type="spellEnd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"https://www.einstieg.com/gap-year/wie-plane-ich-ein-gap-year.html" \o "Wie plane ich ein Gap Year?" </w:instrTex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Leitfaden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,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wann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du mit der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Vorbereitung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loslegen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solltest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und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worauf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du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achten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 xml:space="preserve"> </w:t>
      </w:r>
      <w:proofErr w:type="spellStart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musst</w:t>
      </w:r>
      <w:proofErr w:type="spellEnd"/>
      <w:r w:rsidRPr="00844D48">
        <w:rPr>
          <w:rFonts w:ascii="Arial" w:eastAsia="Times New Roman" w:hAnsi="Arial" w:cs="Arial"/>
          <w:color w:val="E86E0C"/>
          <w:sz w:val="24"/>
          <w:szCs w:val="24"/>
          <w:u w:val="single"/>
          <w:lang w:eastAsia="fr-FR"/>
        </w:rPr>
        <w:t>.</w:t>
      </w:r>
      <w:r w:rsidRPr="00DE64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</w:p>
    <w:p w:rsidR="004C4B87" w:rsidRDefault="004C4B87" w:rsidP="00844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D48" w:rsidRDefault="00844D48" w:rsidP="00844D48">
      <w:r>
        <w:rPr>
          <w:rFonts w:ascii="Arial" w:hAnsi="Arial" w:cs="Arial"/>
          <w:sz w:val="24"/>
          <w:szCs w:val="24"/>
        </w:rPr>
        <w:t xml:space="preserve">Link: </w:t>
      </w:r>
      <w:hyperlink r:id="rId6" w:history="1">
        <w:r w:rsidRPr="004D2299">
          <w:rPr>
            <w:rStyle w:val="Lienhypertexte"/>
          </w:rPr>
          <w:t>https://www.einstieg.com/gap-year/was-ist-ein-gap-year.html</w:t>
        </w:r>
      </w:hyperlink>
    </w:p>
    <w:p w:rsidR="00844D48" w:rsidRPr="00844D48" w:rsidRDefault="00844D48" w:rsidP="00844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4D48" w:rsidRPr="0084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4"/>
    <w:rsid w:val="004C4B87"/>
    <w:rsid w:val="00844D48"/>
    <w:rsid w:val="00D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2ECB"/>
  <w15:chartTrackingRefBased/>
  <w15:docId w15:val="{0E5DEB3F-BFF3-43AB-A6ED-0C7CF483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48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648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648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4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602691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6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5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nstieg.com/gap-year/was-ist-ein-gap-year.html" TargetMode="External"/><Relationship Id="rId5" Type="http://schemas.openxmlformats.org/officeDocument/2006/relationships/hyperlink" Target="https://www.einstieg.com/gap-year/detail/au-pai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2021-10-21T11:57:00Z</dcterms:created>
  <dcterms:modified xsi:type="dcterms:W3CDTF">2021-10-21T12:00:00Z</dcterms:modified>
</cp:coreProperties>
</file>