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3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Historique des menus servis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L’archivage de ces données est important en cas d’alerte sanitaire (retrait, rappel) et en cas de survenue d’une toxi-infection alimentaire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esponsable de l’affichage des menus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Elèves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Agents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 collectivité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chaque production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chaque production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Annexe 4.2.4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mois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G5judRXQ0h0mpADhNjBi4fOsIPYMCVKu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ThjYJpSDiivBdusq+kXm1H0pw==">AMUW2mU5jDsitsYMr8cGAUjevn+SJmC0ajcd4j7EOCQuLS5egAkPg+5/v1Pb9Osp+Z2QnV2Yu2oUlKrMEQm+6OsSsKN/4+O8HOpS/rKw+cfA4PT24ZTMjt0=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