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6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1701"/>
        <w:gridCol w:w="1701"/>
        <w:gridCol w:w="1701"/>
        <w:gridCol w:w="1700"/>
        <w:gridCol w:w="1701"/>
        <w:gridCol w:w="1701"/>
        <w:gridCol w:w="1701"/>
        <w:tblGridChange w:id="0">
          <w:tblGrid>
            <w:gridCol w:w="1700"/>
            <w:gridCol w:w="1701"/>
            <w:gridCol w:w="1701"/>
            <w:gridCol w:w="1701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Réglementation 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48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Consignes/Conseils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Fiche de recueil de la présence des allergènes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L’archivage de ces données est important en cas d’alerte sanitaire (retrait, rappel) et en cas de survenue d’une toxi-infection alimentaire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esponsable de l’affichage des allergènes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Enseignants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Elèves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480" w:lineRule="auto"/>
              <w:ind w:right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Agents 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 collectivité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Chaque repas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Chaque repas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Annexe 4.2.3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mois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sectPr>
      <w:headerReference r:id="rId8" w:type="default"/>
      <w:footerReference r:id="rId9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gFgyYBHiEIl4TE7QmZVKMxw2aNgTvcz9/view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7dHcbxZioT8c97yMPxJ+xC8d5Q==">AMUW2mVbfvFyKZs4i9ZIofoB3AdkkeIBqTJ/PjjOwc9bERKG+r+H2TVMI7b2NemV9Hx1NkfsUHvCpYLLkYkZxBS6Pvko3bbRgR1CQKX+vCTh0hmg5JNjA2I=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