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.000000000000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Traçabilité amont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Bons de livraisons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L’archivage de ces données est important en cas d’alerte sanitaire (retrait, rappel) et en cas de survenue d’une toxi-infection alimentaire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ournisseurs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agasinier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livraison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livraison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Aucune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10 ans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Factures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estionnaire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facturation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facturation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Aucune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10 ans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9X2yfwq6P9j7Z/jtfIvbQCCO2g==">AMUW2mUA8+6lvJYnyWMiyRYs3VdrDbfTLyo+hD5eEzwzEGEEP/UCn1gP8HpBynX0at5On65EsyIAX6BIMhn5l/abWKbhMuxSBMbh91wzRVGy55WETjRqkLo=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