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8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Gestion des produits entamés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Affichage d’un protocole Bonnes Pratiques d'Hygiène  “Le stockage des produits entamés/ finis"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(Voir exemple en ressources)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Référent PMS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Equipe pédagogique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Responsable de la production en cuisine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 fois par 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stockage de produits entamés / finis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2.7.1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SMWSRjCh6KV8oAhtaumO8dWX8eu7JxY4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2f6465l3M6sxxAW/IMgfdsP9RQ==">AMUW2mVDY6wCaSCrJrtvCGhFacwYaG2KyC/Y1hgGwMFWyk3XEP3pfmJS9oEy2yXZb9sAN+et0/5puLI1mnrGK1eTKGo9AZkw1ZNtRFChhGxUn58NTf72rDA=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