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3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60"/>
        <w:gridCol w:w="1740"/>
        <w:gridCol w:w="1575"/>
        <w:gridCol w:w="1605"/>
        <w:gridCol w:w="1700"/>
        <w:gridCol w:w="1701"/>
        <w:gridCol w:w="1701"/>
        <w:gridCol w:w="1701"/>
        <w:tblGridChange w:id="0">
          <w:tblGrid>
            <w:gridCol w:w="1860"/>
            <w:gridCol w:w="1740"/>
            <w:gridCol w:w="1575"/>
            <w:gridCol w:w="1605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5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Enregistrement de chaque cycle de refroidissement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Attention à la bonne utilisation de la cellule de refroidissement rapide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Agents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Une fois par 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utilisation de la cellule de refroidissement rapide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2.12.1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fqiHT9rJw5HJRWQD_VTMKUJ0Qe4Qymka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Q30rfDqVPN9c0VrVHF4rK8rSA==">AMUW2mXlLWgo0sQsxHrQK7odQmgdDhR0cBnIL0dVVvCqjPK8Ne6QFvQiv2xf8A9EWwDg3j6iesDfSnE44nge9tGejc4S+pjCMDcossDkD7ntKCia5g4Edvw=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