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Traçabilité des œufs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Rédiger un affichage du protocole BPH “protocole d’utilisation des oeufs en coquille”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(Voir exemple en ressources)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Référent PMS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 pédagogique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fois par 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chaque utilisation d’oeufs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Annexe 2.10.1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l1vPlXTslfBeVUrvzGtnPHndF8zdobi5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tW5A/aEUALareVNOziZ1MMeYg==">AMUW2mWu9L9RWkRFzVsMNCW983KOs3BUrGeqjOCq0vjoMAjqRq885WdZbCB3UtbKokwrDdXjLADfcMK2+r/LOXBoDh5XyzX5K4CXbdI19ZWeABhhGZ15A8I=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