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6.999999999998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875"/>
        <w:gridCol w:w="1755"/>
        <w:gridCol w:w="1455"/>
        <w:gridCol w:w="1875"/>
        <w:gridCol w:w="1515"/>
        <w:gridCol w:w="1701"/>
        <w:gridCol w:w="1701"/>
        <w:tblGridChange w:id="0">
          <w:tblGrid>
            <w:gridCol w:w="1700"/>
            <w:gridCol w:w="1875"/>
            <w:gridCol w:w="1755"/>
            <w:gridCol w:w="1455"/>
            <w:gridCol w:w="1875"/>
            <w:gridCol w:w="1515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2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Contrat d’entretien et de vidange des bacs à graisse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30f40"/>
                <w:u w:val="none"/>
                <w:vertAlign w:val="baseline"/>
                <w:rtl w:val="0"/>
              </w:rPr>
              <w:t xml:space="preserve">L’installation du bac à graisse est réglementée par le Code de l’Environnement et le règlement d’assainissement départemental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L’entreprise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spécialisée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Direction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renouvellement de contrat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Tous les ans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Aucun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7" w:type="default"/>
      <w:footerReference r:id="rId8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lubY3UXEKl0WLkOMtPKiDu27xg==">AMUW2mXqSTtweJckQPnmq7BtfDsdZTwUWEsSrCHwbfLjGTlqgYSBSOc2Caq/riGWodtu1IEp1wJ2WjTw1K8O2u3R6n3w/UoF1PdBz/mtnFiVNZx/aEWIZKk=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