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Bilan annuel GPB</w:t>
      </w:r>
    </w:p>
    <w:tbl>
      <w:tblPr>
        <w:tblStyle w:val="Grilledutableau"/>
        <w:tblW w:w="104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80"/>
        <w:gridCol w:w="8459"/>
      </w:tblGrid>
      <w:tr>
        <w:trPr>
          <w:trHeight w:val="477"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Nom GPB</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GPB Nord Alsace</w:t>
            </w:r>
          </w:p>
        </w:tc>
      </w:tr>
      <w:tr>
        <w:trPr>
          <w:trHeight w:val="451"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Thème de l’année</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spacing w:lineRule="auto" w:line="240" w:before="0" w:after="0"/>
              <w:jc w:val="left"/>
              <w:rPr>
                <w:sz w:val="24"/>
              </w:rPr>
            </w:pPr>
            <w:r>
              <w:rPr>
                <w:sz w:val="24"/>
              </w:rPr>
              <w:t>L’aménagement des espaces pour promouvoir la lecture, la valorisation des nouveautés et penser les autres usages (ou activités) dans nos CDI des collèges et lycées.</w:t>
            </w:r>
          </w:p>
        </w:tc>
      </w:tr>
      <w:tr>
        <w:trPr>
          <w:trHeight w:val="595"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Coordonnateurs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Marianne DONNAT, Céline GANDON, Carine VOGT.</w:t>
            </w:r>
          </w:p>
        </w:tc>
      </w:tr>
      <w:tr>
        <w:trPr>
          <w:trHeight w:val="2156"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Les intervenants et lieux visités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numPr>
                <w:ilvl w:val="0"/>
                <w:numId w:val="4"/>
              </w:numPr>
              <w:suppressAutoHyphens w:val="true"/>
              <w:spacing w:lineRule="auto" w:line="240" w:before="0" w:after="0"/>
              <w:jc w:val="left"/>
              <w:rPr>
                <w:sz w:val="24"/>
              </w:rPr>
            </w:pPr>
            <w:r>
              <w:rPr>
                <w:rFonts w:eastAsia="Aptos" w:cs=""/>
                <w:kern w:val="2"/>
                <w:sz w:val="24"/>
                <w:szCs w:val="24"/>
                <w:lang w:val="fr-FR" w:eastAsia="en-US" w:bidi="ar-SA"/>
              </w:rPr>
              <w:t>Carine VOGT, professeur documentaliste du CDI du collège Gustave Doré de Hochfelden : évolution de l’espace au CDI de 1999 à 2025.</w:t>
            </w:r>
          </w:p>
          <w:p>
            <w:pPr>
              <w:pStyle w:val="Normal"/>
              <w:widowControl/>
              <w:numPr>
                <w:ilvl w:val="0"/>
                <w:numId w:val="0"/>
              </w:numPr>
              <w:suppressAutoHyphens w:val="true"/>
              <w:spacing w:lineRule="auto" w:line="240" w:before="0" w:after="0"/>
              <w:ind w:hanging="0" w:left="720"/>
              <w:jc w:val="left"/>
              <w:rPr>
                <w:rFonts w:eastAsia="Aptos" w:cs=""/>
                <w:kern w:val="2"/>
                <w:sz w:val="24"/>
                <w:szCs w:val="24"/>
                <w:lang w:val="fr-FR" w:eastAsia="en-US" w:bidi="ar-SA"/>
              </w:rPr>
            </w:pPr>
            <w:r>
              <w:rPr>
                <w:rFonts w:eastAsia="Aptos" w:cs=""/>
                <w:kern w:val="2"/>
                <w:sz w:val="24"/>
                <w:szCs w:val="24"/>
                <w:lang w:val="fr-FR" w:eastAsia="en-US" w:bidi="ar-SA"/>
              </w:rPr>
            </w:r>
          </w:p>
          <w:p>
            <w:pPr>
              <w:pStyle w:val="Normal"/>
              <w:widowControl/>
              <w:numPr>
                <w:ilvl w:val="0"/>
                <w:numId w:val="4"/>
              </w:numPr>
              <w:suppressAutoHyphens w:val="true"/>
              <w:spacing w:lineRule="auto" w:line="240" w:before="0" w:after="0"/>
              <w:jc w:val="left"/>
              <w:rPr>
                <w:sz w:val="24"/>
              </w:rPr>
            </w:pPr>
            <w:r>
              <w:rPr>
                <w:rFonts w:eastAsia="Aptos" w:cs=""/>
                <w:kern w:val="2"/>
                <w:sz w:val="24"/>
                <w:szCs w:val="24"/>
                <w:lang w:val="fr-FR" w:eastAsia="en-US" w:bidi="ar-SA"/>
              </w:rPr>
              <w:t>Marc MESCHBERGER Responsable de la Médiathèque André Malraux de Strasbourg. Visite guidée des différentes sections de la médiathèque.</w:t>
            </w:r>
          </w:p>
        </w:tc>
      </w:tr>
      <w:tr>
        <w:trPr>
          <w:trHeight w:val="3208"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Synthèse des journées basée sur les CR réalisés par les collègues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bidi w:val="0"/>
              <w:spacing w:lineRule="auto" w:line="276"/>
              <w:ind w:hanging="0" w:left="0" w:right="0"/>
              <w:jc w:val="left"/>
              <w:rPr>
                <w:b/>
                <w:bCs/>
                <w:color w:val="780373"/>
              </w:rPr>
            </w:pPr>
            <w:r>
              <w:rPr>
                <w:b/>
                <w:bCs/>
                <w:color w:val="780373"/>
                <w:sz w:val="24"/>
              </w:rPr>
              <w:t>Repenser les espaces dans un CDI</w:t>
            </w:r>
          </w:p>
          <w:p>
            <w:pPr>
              <w:pStyle w:val="Normal"/>
              <w:bidi w:val="0"/>
              <w:spacing w:lineRule="auto" w:line="276"/>
              <w:ind w:hanging="0" w:left="0" w:right="0"/>
              <w:jc w:val="left"/>
              <w:rPr>
                <w:sz w:val="24"/>
              </w:rPr>
            </w:pPr>
            <w:r>
              <w:rPr>
                <w:sz w:val="24"/>
              </w:rPr>
              <w:t>Mutualisation des éléments repérables dans les différents CDI du bassin (sur la base d’un corpus de photos) et dans une médiathèque (A. Malraux à Strasbourg), en fonction des usages.</w:t>
            </w:r>
          </w:p>
          <w:p>
            <w:pPr>
              <w:pStyle w:val="Normal"/>
              <w:bidi w:val="0"/>
              <w:spacing w:lineRule="auto" w:line="276"/>
              <w:ind w:hanging="0" w:left="0" w:right="0"/>
              <w:jc w:val="left"/>
              <w:rPr>
                <w:sz w:val="24"/>
              </w:rPr>
            </w:pPr>
            <w:r>
              <w:rPr>
                <w:sz w:val="24"/>
              </w:rPr>
              <w:t>Des différentes observations des aménagements en ressortent les points forts et des points d’amélioration pour rendre les CDI plus agréables, plus pratiques pour accueillir des classes ou pour mettre en valeur des ressources, des expositions, des supports de communication.</w:t>
            </w:r>
          </w:p>
          <w:p>
            <w:pPr>
              <w:pStyle w:val="Normal"/>
              <w:bidi w:val="0"/>
              <w:spacing w:lineRule="auto" w:line="276"/>
              <w:ind w:hanging="0" w:left="0" w:right="0"/>
              <w:jc w:val="left"/>
              <w:rPr>
                <w:sz w:val="24"/>
              </w:rPr>
            </w:pPr>
            <w:r>
              <w:rPr>
                <w:sz w:val="24"/>
              </w:rPr>
              <w:t xml:space="preserve">Le cas de l’évolution de l’aménagement du CDI du collège Gustave Doré de Hochfelden par Carine Vogt, depuis sa prise de poste en 2005 comme professeur-documentaliste illustre les possibilités de repenser les </w:t>
            </w:r>
            <w:bookmarkStart w:id="0" w:name="__DdeLink__473_1903419636"/>
            <w:r>
              <w:rPr>
                <w:sz w:val="24"/>
              </w:rPr>
              <w:t>espaces dans un CDI</w:t>
            </w:r>
            <w:bookmarkEnd w:id="0"/>
            <w:r>
              <w:rPr>
                <w:sz w:val="24"/>
              </w:rPr>
              <w:t>.</w:t>
            </w:r>
          </w:p>
          <w:p>
            <w:pPr>
              <w:pStyle w:val="Normal"/>
              <w:bidi w:val="0"/>
              <w:spacing w:lineRule="auto" w:line="276"/>
              <w:ind w:hanging="0" w:left="0" w:right="0"/>
              <w:jc w:val="left"/>
              <w:rPr>
                <w:sz w:val="24"/>
              </w:rPr>
            </w:pPr>
            <w:r>
              <w:rPr>
                <w:sz w:val="24"/>
              </w:rPr>
              <w:t>Axes d’observations :</w:t>
            </w:r>
          </w:p>
          <w:p>
            <w:pPr>
              <w:pStyle w:val="Normal"/>
              <w:numPr>
                <w:ilvl w:val="0"/>
                <w:numId w:val="5"/>
              </w:numPr>
              <w:bidi w:val="0"/>
              <w:spacing w:lineRule="auto" w:line="254"/>
              <w:jc w:val="left"/>
              <w:rPr>
                <w:rFonts w:cs="Calibri"/>
              </w:rPr>
            </w:pPr>
            <w:r>
              <w:rPr>
                <w:rFonts w:cs="Calibri"/>
                <w:sz w:val="24"/>
              </w:rPr>
              <w:t>Mise en valeur d’un fonds.</w:t>
            </w:r>
          </w:p>
          <w:p>
            <w:pPr>
              <w:pStyle w:val="Normal"/>
              <w:numPr>
                <w:ilvl w:val="0"/>
                <w:numId w:val="5"/>
              </w:numPr>
              <w:bidi w:val="0"/>
              <w:spacing w:lineRule="auto" w:line="254"/>
              <w:jc w:val="left"/>
              <w:rPr>
                <w:rFonts w:cs="Calibri"/>
              </w:rPr>
            </w:pPr>
            <w:r>
              <w:rPr>
                <w:rFonts w:cs="Calibri"/>
                <w:sz w:val="24"/>
              </w:rPr>
              <w:t>Mise en valeur d’une nouveauté.</w:t>
            </w:r>
          </w:p>
          <w:p>
            <w:pPr>
              <w:pStyle w:val="Normal"/>
              <w:numPr>
                <w:ilvl w:val="0"/>
                <w:numId w:val="5"/>
              </w:numPr>
              <w:bidi w:val="0"/>
              <w:spacing w:lineRule="auto" w:line="254"/>
              <w:jc w:val="left"/>
              <w:rPr>
                <w:rFonts w:cs="Calibri"/>
              </w:rPr>
            </w:pPr>
            <w:r>
              <w:rPr>
                <w:rFonts w:cs="Calibri"/>
                <w:sz w:val="24"/>
              </w:rPr>
              <w:t>Classification des fictions : segmentation des genres. Tri des fictions fonction de la nationalité de l’auteur / livres francophones et romans du monde. Livres bilingues.</w:t>
            </w:r>
          </w:p>
          <w:p>
            <w:pPr>
              <w:pStyle w:val="Normal"/>
              <w:numPr>
                <w:ilvl w:val="0"/>
                <w:numId w:val="5"/>
              </w:numPr>
              <w:bidi w:val="0"/>
              <w:spacing w:lineRule="auto" w:line="254"/>
              <w:jc w:val="left"/>
              <w:rPr>
                <w:rFonts w:cs="Calibri"/>
              </w:rPr>
            </w:pPr>
            <w:r>
              <w:rPr>
                <w:rFonts w:cs="Calibri"/>
                <w:sz w:val="24"/>
              </w:rPr>
              <w:t>Mise en valeur accessibilité handicap publics dys et signalétique (gros caractères, petits lecteurs).</w:t>
            </w:r>
          </w:p>
          <w:p>
            <w:pPr>
              <w:pStyle w:val="Normal"/>
              <w:numPr>
                <w:ilvl w:val="0"/>
                <w:numId w:val="5"/>
              </w:numPr>
              <w:bidi w:val="0"/>
              <w:spacing w:lineRule="auto" w:line="254"/>
              <w:jc w:val="left"/>
              <w:rPr>
                <w:rFonts w:cs="Calibri"/>
              </w:rPr>
            </w:pPr>
            <w:r>
              <w:rPr>
                <w:rFonts w:cs="Calibri"/>
                <w:sz w:val="24"/>
              </w:rPr>
              <w:t>Mise en valeur de sélections thématiques (hors nouveautés).</w:t>
            </w:r>
          </w:p>
          <w:p>
            <w:pPr>
              <w:pStyle w:val="Normal"/>
              <w:bidi w:val="0"/>
              <w:spacing w:lineRule="auto" w:line="276"/>
              <w:ind w:hanging="0" w:left="0" w:right="0"/>
              <w:jc w:val="left"/>
              <w:rPr>
                <w:sz w:val="24"/>
              </w:rPr>
            </w:pPr>
            <w:r>
              <w:rPr>
                <w:sz w:val="24"/>
              </w:rPr>
            </w:r>
          </w:p>
          <w:p>
            <w:pPr>
              <w:pStyle w:val="Normal"/>
              <w:bidi w:val="0"/>
              <w:spacing w:lineRule="auto" w:line="276"/>
              <w:ind w:hanging="0" w:left="0" w:right="0"/>
              <w:jc w:val="left"/>
              <w:rPr>
                <w:sz w:val="24"/>
              </w:rPr>
            </w:pPr>
            <w:r>
              <w:rPr>
                <w:b/>
                <w:bCs/>
                <w:color w:val="780373"/>
                <w:sz w:val="24"/>
              </w:rPr>
              <w:t>Thématique citoyenne</w:t>
            </w:r>
            <w:r>
              <w:rPr>
                <w:b/>
                <w:bCs/>
                <w:sz w:val="24"/>
              </w:rPr>
              <w:t xml:space="preserve"> </w:t>
            </w:r>
            <w:r>
              <w:rPr>
                <w:sz w:val="24"/>
              </w:rPr>
              <w:t xml:space="preserve">pour la demi-journée CPE/ professeurs  documentalistes : </w:t>
            </w:r>
            <w:r>
              <w:rPr>
                <w:color w:val="780373"/>
                <w:sz w:val="24"/>
              </w:rPr>
              <w:t>Identité numérique et e-réputation / Cyberharcèlement / Droit à l'image</w:t>
            </w:r>
            <w:r>
              <w:rPr>
                <w:sz w:val="24"/>
              </w:rPr>
              <w:t>. Identification des enjeux, des acteurs, des sanctions, des ressources et personnes ressource.</w:t>
            </w:r>
          </w:p>
          <w:p>
            <w:pPr>
              <w:pStyle w:val="Normal"/>
              <w:bidi w:val="0"/>
              <w:spacing w:lineRule="auto" w:line="276"/>
              <w:ind w:hanging="0" w:left="0" w:right="0"/>
              <w:jc w:val="left"/>
              <w:rPr>
                <w:sz w:val="24"/>
              </w:rPr>
            </w:pPr>
            <w:r>
              <w:rPr>
                <w:sz w:val="24"/>
              </w:rPr>
              <w:t xml:space="preserve">Présentation de jeux éducatifs et coopératifs (« La Fresque des cibercitoyens) et création collective d’un corpus de cartes </w:t>
            </w:r>
            <w:r>
              <w:rPr>
                <w:b/>
                <w:bCs/>
                <w:color w:val="780373"/>
                <w:sz w:val="24"/>
              </w:rPr>
              <w:t>« 100 % Charge Max » </w:t>
            </w:r>
            <w:r>
              <w:rPr>
                <w:sz w:val="24"/>
              </w:rPr>
              <w:t xml:space="preserve">: jeu de sensibilisation aux bonnes pratiques numériques articulé autour des 3 thèmes : Identité numérique et e-réputation / Cyberharcèlement / Droit à l'image. 1 version collège et 1 version lycée du jeu sont créées. </w:t>
            </w:r>
            <w:r>
              <w:rPr>
                <w:i/>
                <w:iCs/>
                <w:sz w:val="24"/>
              </w:rPr>
              <w:t>Jeu initial présenté par Carine Vogt (co-autrice).</w:t>
            </w:r>
          </w:p>
          <w:p>
            <w:pPr>
              <w:pStyle w:val="Normal"/>
              <w:bidi w:val="0"/>
              <w:spacing w:lineRule="auto" w:line="276"/>
              <w:ind w:hanging="0" w:left="0" w:right="0"/>
              <w:jc w:val="left"/>
              <w:rPr>
                <w:sz w:val="24"/>
              </w:rPr>
            </w:pPr>
            <w:r>
              <w:rPr>
                <w:sz w:val="24"/>
              </w:rPr>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r>
      <w:tr>
        <w:trPr>
          <w:trHeight w:val="3208"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Productions : séances format Edubase ou sommaires des ressources produites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numPr>
                <w:ilvl w:val="0"/>
                <w:numId w:val="2"/>
              </w:numPr>
              <w:suppressAutoHyphens w:val="true"/>
              <w:spacing w:lineRule="auto" w:line="240" w:before="0" w:after="0"/>
              <w:jc w:val="left"/>
              <w:rPr>
                <w:sz w:val="24"/>
              </w:rPr>
            </w:pPr>
            <w:r>
              <w:rPr>
                <w:sz w:val="24"/>
              </w:rPr>
              <w:t>Corpus d’images des différents espaces des CDI du bassin nord-Alsace : réflexions sur la valorisation des espaces, l’amélioration ou l’évolution des espaces en fonction des besoins.</w:t>
            </w:r>
          </w:p>
          <w:p>
            <w:pPr>
              <w:pStyle w:val="Normal"/>
              <w:widowControl/>
              <w:numPr>
                <w:ilvl w:val="0"/>
                <w:numId w:val="0"/>
              </w:numPr>
              <w:suppressAutoHyphens w:val="true"/>
              <w:spacing w:lineRule="auto" w:line="240" w:before="0" w:after="0"/>
              <w:ind w:hanging="0" w:left="720"/>
              <w:jc w:val="left"/>
              <w:rPr>
                <w:sz w:val="24"/>
              </w:rPr>
            </w:pPr>
            <w:r>
              <w:rPr>
                <w:sz w:val="24"/>
              </w:rPr>
            </w:r>
          </w:p>
          <w:p>
            <w:pPr>
              <w:pStyle w:val="Normal"/>
              <w:widowControl/>
              <w:numPr>
                <w:ilvl w:val="0"/>
                <w:numId w:val="1"/>
              </w:numPr>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Observation et analyse des choix de mise en valeurs des espaces de la médiathèque A. Malraux pour envisager une transposition vers les CDI.</w:t>
            </w:r>
          </w:p>
          <w:p>
            <w:pPr>
              <w:pStyle w:val="Normal"/>
              <w:widowControl/>
              <w:numPr>
                <w:ilvl w:val="0"/>
                <w:numId w:val="0"/>
              </w:numPr>
              <w:suppressAutoHyphens w:val="true"/>
              <w:spacing w:lineRule="auto" w:line="240" w:before="0" w:after="0"/>
              <w:ind w:hanging="0" w:left="720"/>
              <w:jc w:val="left"/>
              <w:rPr>
                <w:sz w:val="24"/>
              </w:rPr>
            </w:pPr>
            <w:r>
              <w:rPr>
                <w:sz w:val="24"/>
              </w:rPr>
            </w:r>
          </w:p>
          <w:p>
            <w:pPr>
              <w:pStyle w:val="Normal"/>
              <w:widowControl/>
              <w:numPr>
                <w:ilvl w:val="0"/>
                <w:numId w:val="2"/>
              </w:numPr>
              <w:suppressAutoHyphens w:val="true"/>
              <w:spacing w:lineRule="auto" w:line="240" w:before="0" w:after="0"/>
              <w:jc w:val="left"/>
              <w:rPr>
                <w:sz w:val="24"/>
              </w:rPr>
            </w:pPr>
            <w:r>
              <w:rPr>
                <w:sz w:val="24"/>
              </w:rPr>
              <w:t>Réalisation de supports mutualisés : document de passation pour déménager son CDI et document de liaison du CDI.</w:t>
            </w:r>
          </w:p>
          <w:p>
            <w:pPr>
              <w:pStyle w:val="Normal"/>
              <w:widowControl/>
              <w:suppressAutoHyphens w:val="true"/>
              <w:spacing w:lineRule="auto" w:line="240" w:before="0" w:after="0"/>
              <w:jc w:val="left"/>
              <w:rPr>
                <w:sz w:val="24"/>
              </w:rPr>
            </w:pPr>
            <w:r>
              <w:rPr>
                <w:sz w:val="24"/>
              </w:rPr>
            </w:r>
          </w:p>
          <w:p>
            <w:pPr>
              <w:pStyle w:val="Normal"/>
              <w:widowControl/>
              <w:numPr>
                <w:ilvl w:val="0"/>
                <w:numId w:val="1"/>
              </w:numPr>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Jeu 100 % charge max : création de cartes pour le collège et le lycée, directement exploitable sur les thématiques de l’identité numérique, le droit à l’image et le cyberharcèlement. (voir cartes dans liens vers les productions).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p>
            <w:pPr>
              <w:pStyle w:val="Normal"/>
              <w:widowControl/>
              <w:numPr>
                <w:ilvl w:val="0"/>
                <w:numId w:val="1"/>
              </w:numPr>
              <w:suppressAutoHyphens w:val="true"/>
              <w:spacing w:lineRule="auto" w:line="240" w:before="0" w:after="0"/>
              <w:jc w:val="left"/>
              <w:rPr>
                <w:sz w:val="24"/>
              </w:rPr>
            </w:pPr>
            <w:r>
              <w:rPr>
                <w:sz w:val="24"/>
              </w:rPr>
              <w:t>Fiches ressources sur les thématique citoyenne : Identité numérique et e-réputation / Cyberharcèlement / Droit à l'image.</w:t>
            </w:r>
          </w:p>
          <w:p>
            <w:pPr>
              <w:pStyle w:val="Normal"/>
              <w:widowControl/>
              <w:numPr>
                <w:ilvl w:val="0"/>
                <w:numId w:val="0"/>
              </w:numPr>
              <w:suppressAutoHyphens w:val="true"/>
              <w:spacing w:lineRule="auto" w:line="240" w:before="0" w:after="0"/>
              <w:ind w:hanging="0" w:left="720"/>
              <w:jc w:val="left"/>
              <w:rPr>
                <w:sz w:val="24"/>
              </w:rPr>
            </w:pPr>
            <w:r>
              <w:rPr>
                <w:sz w:val="24"/>
              </w:rPr>
            </w:r>
          </w:p>
          <w:p>
            <w:pPr>
              <w:pStyle w:val="Normal"/>
              <w:widowControl/>
              <w:numPr>
                <w:ilvl w:val="0"/>
                <w:numId w:val="1"/>
              </w:numPr>
              <w:suppressAutoHyphens w:val="true"/>
              <w:spacing w:lineRule="auto" w:line="240" w:before="0" w:after="0"/>
              <w:jc w:val="left"/>
              <w:rPr>
                <w:sz w:val="24"/>
              </w:rPr>
            </w:pPr>
            <w:r>
              <w:rPr>
                <w:sz w:val="24"/>
              </w:rPr>
              <w:t>Coups de cœurs littéraires de l’année.</w:t>
            </w:r>
          </w:p>
          <w:p>
            <w:pPr>
              <w:pStyle w:val="Normal"/>
              <w:widowControl/>
              <w:numPr>
                <w:ilvl w:val="0"/>
                <w:numId w:val="0"/>
              </w:numPr>
              <w:suppressAutoHyphens w:val="true"/>
              <w:spacing w:lineRule="auto" w:line="240" w:before="0" w:after="0"/>
              <w:ind w:hanging="0" w:left="72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r>
      <w:tr>
        <w:trPr>
          <w:trHeight w:val="1419"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Liens vers les productions</w:t>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JOURNÉE 2</w:t>
            </w:r>
          </w:p>
          <w:p>
            <w:pPr>
              <w:pStyle w:val="Normal"/>
              <w:widowControl/>
              <w:numPr>
                <w:ilvl w:val="0"/>
                <w:numId w:val="3"/>
              </w:numPr>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 xml:space="preserve">Voici le lien vers les cartes destinées aux élèves de Lycée : </w:t>
            </w:r>
            <w:hyperlink r:id="rId2">
              <w:r>
                <w:rPr>
                  <w:rStyle w:val="Style"/>
                  <w:rFonts w:eastAsia="Aptos" w:cs=""/>
                  <w:kern w:val="2"/>
                  <w:sz w:val="24"/>
                  <w:szCs w:val="24"/>
                  <w:lang w:val="fr-FR" w:eastAsia="en-US" w:bidi="ar-SA"/>
                </w:rPr>
                <w:t>https://www.canva.com/design/DAGhnbwgeXI/G38--Icp4VC8pWDC_0mK1A/view?utm_content=DAGhnbwgeXI&amp;utm_campaign=designshare&amp;utm_medium=link2&amp;utm_source=uniquelinks&amp;utlId=h01abd54ebd</w:t>
              </w:r>
            </w:hyperlink>
          </w:p>
          <w:p>
            <w:pPr>
              <w:pStyle w:val="Normal"/>
              <w:widowControl/>
              <w:numPr>
                <w:ilvl w:val="0"/>
                <w:numId w:val="3"/>
              </w:numPr>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 xml:space="preserve">Voici le lien vers les cartes destinées aux élèves de Collège : </w:t>
            </w:r>
            <w:hyperlink r:id="rId3">
              <w:r>
                <w:rPr>
                  <w:rStyle w:val="Style"/>
                  <w:rFonts w:eastAsia="Aptos" w:cs=""/>
                  <w:kern w:val="2"/>
                  <w:sz w:val="24"/>
                  <w:szCs w:val="24"/>
                  <w:lang w:val="fr-FR" w:eastAsia="en-US" w:bidi="ar-SA"/>
                </w:rPr>
                <w:t>https://www.canva.com/design/DAGhneAlkhA/l2A9UpkKKdYFS58lI46n8Q/view?utm_content=DAGhneAlkhA&amp;utm_campaign=designshare&amp;utm_medium=link2&amp;utm_source=uniquelinks&amp;utlId=h4056f46e22</w:t>
              </w:r>
            </w:hyperlink>
          </w:p>
          <w:p>
            <w:pPr>
              <w:pStyle w:val="Normal"/>
              <w:widowControl/>
              <w:numPr>
                <w:ilvl w:val="0"/>
                <w:numId w:val="3"/>
              </w:numPr>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 xml:space="preserve">Voici le lien vers le Plateau de jeu (en A3) et la règle du jeu : </w:t>
            </w:r>
            <w:hyperlink r:id="rId4">
              <w:r>
                <w:rPr>
                  <w:rStyle w:val="Style"/>
                  <w:rFonts w:eastAsia="Aptos" w:cs=""/>
                  <w:kern w:val="2"/>
                  <w:sz w:val="24"/>
                  <w:szCs w:val="24"/>
                  <w:lang w:val="fr-FR" w:eastAsia="en-US" w:bidi="ar-SA"/>
                </w:rPr>
                <w:t>https://www.canva.com/design/DAGqN0nx8Rc/6YDk4SeI8Ov7QTRxbpncxw/view?utm_content=DAGqN0nx8Rc&amp;utm_campaign=designshare&amp;utm_medium=link2&amp;utm_source=uniquelinks&amp;utlId=ha3818a80ae</w:t>
              </w:r>
            </w:hyperlink>
          </w:p>
        </w:tc>
      </w:tr>
    </w:tbl>
    <w:p>
      <w:pPr>
        <w:pStyle w:val="Normal"/>
        <w:widowControl/>
        <w:bidi w:val="0"/>
        <w:spacing w:lineRule="auto" w:line="276" w:before="0" w:after="160"/>
        <w:jc w:val="left"/>
        <w:rPr/>
      </w:pPr>
      <w:r>
        <w:rPr/>
      </w:r>
    </w:p>
    <w:sectPr>
      <w:type w:val="nextPage"/>
      <w:pgSz w:w="11906" w:h="16838"/>
      <w:pgMar w:left="720" w:right="720" w:gutter="0" w:header="0" w:top="142"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Aptos Display">
    <w:charset w:val="01"/>
    <w:family w:val="roman"/>
    <w:pitch w:val="variable"/>
  </w:font>
  <w:font w:name="Arial">
    <w:charset w:val="01"/>
    <w:family w:val="swiss"/>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Heading1">
    <w:name w:val="Heading 1"/>
    <w:basedOn w:val="Normal"/>
    <w:next w:val="Normal"/>
    <w:link w:val="Titre1Car"/>
    <w:uiPriority w:val="9"/>
    <w:qFormat/>
    <w:rsid w:val="00181f2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181f2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181f2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181f2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181f2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181f2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181f2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181f2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181f2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181f24"/>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181f24"/>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181f24"/>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181f24"/>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181f24"/>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181f24"/>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181f24"/>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181f24"/>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181f24"/>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181f24"/>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181f24"/>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181f24"/>
    <w:rPr>
      <w:i/>
      <w:iCs/>
      <w:color w:themeColor="text1" w:themeTint="bf" w:val="404040"/>
    </w:rPr>
  </w:style>
  <w:style w:type="character" w:styleId="IntenseEmphasis">
    <w:name w:val="Intense Emphasis"/>
    <w:basedOn w:val="DefaultParagraphFont"/>
    <w:uiPriority w:val="21"/>
    <w:qFormat/>
    <w:rsid w:val="00181f24"/>
    <w:rPr>
      <w:i/>
      <w:iCs/>
      <w:color w:themeColor="accent1" w:themeShade="bf" w:val="0F4761"/>
    </w:rPr>
  </w:style>
  <w:style w:type="character" w:styleId="CitationintenseCar" w:customStyle="1">
    <w:name w:val="Citation intense Car"/>
    <w:basedOn w:val="DefaultParagraphFont"/>
    <w:link w:val="IntenseQuote"/>
    <w:uiPriority w:val="30"/>
    <w:qFormat/>
    <w:rsid w:val="00181f24"/>
    <w:rPr>
      <w:i/>
      <w:iCs/>
      <w:color w:themeColor="accent1" w:themeShade="bf" w:val="0F4761"/>
    </w:rPr>
  </w:style>
  <w:style w:type="character" w:styleId="IntenseReference">
    <w:name w:val="Intense Reference"/>
    <w:basedOn w:val="DefaultParagraphFont"/>
    <w:uiPriority w:val="32"/>
    <w:qFormat/>
    <w:rsid w:val="00181f24"/>
    <w:rPr>
      <w:b/>
      <w:bCs/>
      <w:smallCaps/>
      <w:color w:themeColor="accent1" w:themeShade="bf" w:val="0F4761"/>
      <w:spacing w:val="5"/>
    </w:rPr>
  </w:style>
  <w:style w:type="character" w:styleId="StudysCar">
    <w:name w:val="Studys Car"/>
    <w:basedOn w:val="DefaultParagraphFont"/>
    <w:qFormat/>
    <w:rPr>
      <w:rFonts w:ascii="Arial" w:hAnsi="Arial" w:cs="Arial"/>
      <w:color w:val="000000"/>
      <w:kern w:val="2"/>
      <w:sz w:val="24"/>
      <w:szCs w:val="24"/>
    </w:rPr>
  </w:style>
  <w:style w:type="character" w:styleId="Puces">
    <w:name w:val="Puces"/>
    <w:qFormat/>
    <w:rPr>
      <w:rFonts w:ascii="OpenSymbol" w:hAnsi="OpenSymbol" w:eastAsia="OpenSymbol" w:cs="OpenSymbol"/>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Title">
    <w:name w:val="Title"/>
    <w:basedOn w:val="Normal"/>
    <w:next w:val="Normal"/>
    <w:link w:val="TitreCar"/>
    <w:uiPriority w:val="10"/>
    <w:qFormat/>
    <w:rsid w:val="00181f2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181f24"/>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181f24"/>
    <w:pPr>
      <w:spacing w:before="160" w:after="160"/>
      <w:jc w:val="center"/>
    </w:pPr>
    <w:rPr>
      <w:i/>
      <w:iCs/>
      <w:color w:themeColor="text1" w:themeTint="bf" w:val="404040"/>
    </w:rPr>
  </w:style>
  <w:style w:type="paragraph" w:styleId="ListParagraph">
    <w:name w:val="List Paragraph"/>
    <w:basedOn w:val="Normal"/>
    <w:uiPriority w:val="34"/>
    <w:qFormat/>
    <w:rsid w:val="00181f24"/>
    <w:pPr>
      <w:spacing w:before="0" w:after="160"/>
      <w:ind w:left="720"/>
      <w:contextualSpacing/>
    </w:pPr>
    <w:rPr/>
  </w:style>
  <w:style w:type="paragraph" w:styleId="IntenseQuote">
    <w:name w:val="Intense Quote"/>
    <w:basedOn w:val="Normal"/>
    <w:next w:val="Normal"/>
    <w:link w:val="CitationintenseCar"/>
    <w:uiPriority w:val="30"/>
    <w:qFormat/>
    <w:rsid w:val="00181f2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Studys">
    <w:name w:val="Studys"/>
    <w:basedOn w:val="Normal"/>
    <w:qFormat/>
    <w:pPr>
      <w:widowControl/>
      <w:spacing w:lineRule="auto" w:line="480" w:before="0" w:after="160"/>
      <w:jc w:val="both"/>
      <w:textAlignment w:val="auto"/>
    </w:pPr>
    <w:rPr>
      <w:rFonts w:ascii="Arial" w:hAnsi="Arial" w:cs="Arial"/>
      <w:color w:val="000000"/>
      <w:kern w:val="2"/>
      <w:sz w:val="28"/>
      <w:szCs w:val="24"/>
      <w:lang w:val="fr-FR" w:eastAsia="en-US" w:bidi="ar-SA"/>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western">
    <w:name w:val="western"/>
    <w:basedOn w:val="Normal"/>
    <w:qFormat/>
    <w:pPr>
      <w:widowControl/>
      <w:spacing w:lineRule="auto" w:line="240" w:beforeAutospacing="1" w:afterAutospacing="1"/>
      <w:jc w:val="left"/>
      <w:textAlignment w:val="auto"/>
    </w:pPr>
    <w:rPr>
      <w:rFonts w:cs="Times New Roman"/>
      <w:sz w:val="24"/>
      <w:szCs w:val="24"/>
      <w:lang w:val="fr-FR" w:eastAsia="fr-FR" w:bidi="ar-SA"/>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181f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nva.com/design/DAGhnbwgeXI/G38--Icp4VC8pWDC_0mK1A/view?utm_content=DAGhnbwgeXI&amp;utm_campaign=designshare&amp;utm_medium=link2&amp;utm_source=uniquelinks&amp;utlId=h01abd54ebd" TargetMode="External"/><Relationship Id="rId3" Type="http://schemas.openxmlformats.org/officeDocument/2006/relationships/hyperlink" Target="https://www.canva.com/design/DAGhneAlkhA/l2A9UpkKKdYFS58lI46n8Q/view?utm_content=DAGhneAlkhA&amp;utm_campaign=designshare&amp;utm_medium=link2&amp;utm_source=uniquelinks&amp;utlId=h4056f46e22" TargetMode="External"/><Relationship Id="rId4" Type="http://schemas.openxmlformats.org/officeDocument/2006/relationships/hyperlink" Target="https://www.canva.com/design/DAGqN0nx8Rc/6YDk4SeI8Ov7QTRxbpncxw/view?utm_content=DAGqN0nx8Rc&amp;utm_campaign=designshare&amp;utm_medium=link2&amp;utm_source=uniquelinks&amp;utlId=ha3818a80a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121</TotalTime>
  <Application>Collabora_Office/24.04.14.3$Linux_X86_64 LibreOffice_project/54d8f210e7016c92953f55a6d1624e360fe0f876</Application>
  <AppVersion>15.0000</AppVersion>
  <Pages>2</Pages>
  <Words>568</Words>
  <Characters>3562</Characters>
  <CharactersWithSpaces>4079</CharactersWithSpaces>
  <Paragraphs>35</Paragraphs>
  <Company>Academie Grand 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2025-04-25T06:40:00Z</dcterms:created>
  <dc:creator>Julie Dupuy</dc:creator>
  <dc:description/>
  <dc:language>fr-FR</dc:language>
  <cp:lastModifiedBy/>
  <cp:lastPrinted>2025-06-29T15:08:56Z</cp:lastPrinted>
  <dcterms:modified xsi:type="dcterms:W3CDTF">2025-06-29T15:09:59Z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