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oter2.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pBdr>
          <w:top w:val="single" w:sz="4" w:space="1" w:color="000000"/>
          <w:left w:val="single" w:sz="4" w:space="4" w:color="000000"/>
          <w:bottom w:val="single" w:sz="4" w:space="1" w:color="000000"/>
          <w:right w:val="single" w:sz="4" w:space="4" w:color="000000"/>
        </w:pBdr>
        <w:jc w:val="center"/>
        <w:rPr>
          <w:rFonts w:ascii="Arial" w:hAnsi="Arial" w:cs="Arial"/>
          <w:b/>
          <w:b/>
          <w:sz w:val="28"/>
          <w:szCs w:val="28"/>
        </w:rPr>
      </w:pPr>
      <w:r>
        <w:rPr>
          <w:rFonts w:cs="Arial" w:ascii="Arial" w:hAnsi="Arial"/>
          <w:b/>
          <w:bCs/>
          <w:sz w:val="28"/>
          <w:szCs w:val="28"/>
        </w:rPr>
        <w:t>Mise en œuvre du programme de Chimie (C) Biologie et physiopathologie humaines (BPH) en classe de terminale ST2S</w:t>
      </w:r>
    </w:p>
    <w:p>
      <w:pPr>
        <w:pStyle w:val="Normal"/>
        <w:pBdr>
          <w:top w:val="single" w:sz="4" w:space="1" w:color="000000"/>
          <w:left w:val="single" w:sz="4" w:space="4" w:color="000000"/>
          <w:bottom w:val="single" w:sz="4" w:space="1" w:color="000000"/>
          <w:right w:val="single" w:sz="4" w:space="4" w:color="000000"/>
        </w:pBdr>
        <w:spacing w:before="0" w:after="0"/>
        <w:jc w:val="center"/>
        <w:rPr>
          <w:rFonts w:ascii="Arial" w:hAnsi="Arial" w:cs="Arial"/>
          <w:bCs/>
          <w:sz w:val="24"/>
          <w:szCs w:val="24"/>
        </w:rPr>
      </w:pPr>
      <w:r>
        <w:rPr>
          <w:rFonts w:cs="Arial" w:ascii="Arial" w:hAnsi="Arial"/>
          <w:bCs/>
          <w:sz w:val="24"/>
          <w:szCs w:val="24"/>
        </w:rPr>
        <w:t>Proposition de découpage horaire de liens et de progression concertée entre C et BPH</w:t>
      </w:r>
    </w:p>
    <w:p>
      <w:pPr>
        <w:pStyle w:val="Normal"/>
        <w:spacing w:before="0" w:after="0"/>
        <w:jc w:val="center"/>
        <w:rPr>
          <w:rFonts w:ascii="Arial" w:hAnsi="Arial" w:cs="Arial"/>
          <w:bCs/>
          <w:sz w:val="24"/>
          <w:szCs w:val="24"/>
        </w:rPr>
      </w:pPr>
      <w:r>
        <w:rPr>
          <w:rFonts w:cs="Arial" w:ascii="Arial" w:hAnsi="Arial"/>
          <w:bCs/>
          <w:sz w:val="24"/>
          <w:szCs w:val="24"/>
        </w:rPr>
      </w:r>
    </w:p>
    <w:p>
      <w:pPr>
        <w:pStyle w:val="Normal"/>
        <w:spacing w:before="0" w:after="0"/>
        <w:rPr>
          <w:rFonts w:ascii="Arial" w:hAnsi="Arial" w:cs="Arial"/>
          <w:bCs/>
          <w:sz w:val="24"/>
          <w:szCs w:val="24"/>
        </w:rPr>
      </w:pPr>
      <w:r>
        <w:rPr>
          <w:rFonts w:cs="Arial" w:ascii="Arial" w:hAnsi="Arial"/>
          <w:b/>
          <w:bCs/>
          <w:sz w:val="24"/>
          <w:szCs w:val="24"/>
        </w:rPr>
        <w:t>1. Découpage horaire annuel</w:t>
      </w:r>
      <w:r>
        <w:rPr>
          <w:rFonts w:cs="Arial" w:ascii="Arial" w:hAnsi="Arial"/>
          <w:bCs/>
          <w:sz w:val="24"/>
          <w:szCs w:val="24"/>
        </w:rPr>
        <w:t xml:space="preserve"> (*)</w:t>
      </w:r>
    </w:p>
    <w:p>
      <w:pPr>
        <w:pStyle w:val="Normal"/>
        <w:spacing w:lineRule="auto" w:line="240" w:before="0" w:after="0"/>
        <w:jc w:val="both"/>
        <w:rPr>
          <w:b/>
          <w:b/>
          <w:bCs/>
          <w:sz w:val="10"/>
          <w:szCs w:val="10"/>
          <w:u w:val="single"/>
        </w:rPr>
      </w:pPr>
      <w:r>
        <w:rPr>
          <w:b/>
          <w:bCs/>
          <w:sz w:val="10"/>
          <w:szCs w:val="10"/>
          <w:u w:val="single"/>
        </w:rPr>
      </w:r>
    </w:p>
    <w:p>
      <w:pPr>
        <w:pStyle w:val="Normal"/>
        <w:spacing w:lineRule="auto" w:line="240" w:before="0" w:after="0"/>
        <w:jc w:val="both"/>
        <w:rPr>
          <w:rFonts w:ascii="Arial" w:hAnsi="Arial" w:cs="Arial"/>
        </w:rPr>
      </w:pPr>
      <w:r>
        <w:rPr>
          <w:rFonts w:cs="Arial" w:ascii="Arial" w:hAnsi="Arial"/>
        </w:rPr>
        <w:t>22 à 24 semaines pour la partie du programme d’examen et 6 à 7 semaines pour la partie du programme faite après l’épreuve de terminale – Proposition modulable.</w:t>
      </w:r>
    </w:p>
    <w:p>
      <w:pPr>
        <w:pStyle w:val="Normal"/>
        <w:spacing w:lineRule="auto" w:line="240" w:before="0" w:after="0"/>
        <w:jc w:val="both"/>
        <w:rPr>
          <w:rFonts w:ascii="Arial" w:hAnsi="Arial" w:cs="Arial"/>
        </w:rPr>
      </w:pPr>
      <w:r>
        <w:rPr>
          <w:rFonts w:cs="Arial" w:ascii="Arial" w:hAnsi="Arial"/>
        </w:rPr>
      </w:r>
    </w:p>
    <w:p>
      <w:pPr>
        <w:pStyle w:val="Normal"/>
        <w:spacing w:lineRule="auto" w:line="240" w:before="0" w:after="0"/>
        <w:jc w:val="both"/>
        <w:rPr>
          <w:rFonts w:ascii="Arial" w:hAnsi="Arial" w:cs="Arial"/>
        </w:rPr>
      </w:pPr>
      <w:r>
        <w:rPr>
          <w:rFonts w:cs="Arial" w:ascii="Arial" w:hAnsi="Arial"/>
          <w:b/>
          <w:bCs/>
          <w:u w:val="single"/>
        </w:rPr>
        <w:t>Programme de BPH</w:t>
      </w:r>
      <w:r>
        <w:rPr>
          <w:rFonts w:cs="Arial" w:ascii="Arial" w:hAnsi="Arial"/>
        </w:rPr>
        <w:t xml:space="preserve"> : </w:t>
      </w:r>
    </w:p>
    <w:p>
      <w:pPr>
        <w:pStyle w:val="Normal"/>
        <w:spacing w:lineRule="auto" w:line="240" w:before="0" w:after="0"/>
        <w:jc w:val="both"/>
        <w:rPr>
          <w:rFonts w:ascii="Arial" w:hAnsi="Arial" w:cs="Arial"/>
          <w:bCs/>
          <w:sz w:val="20"/>
          <w:szCs w:val="20"/>
        </w:rPr>
      </w:pPr>
      <w:r>
        <w:rPr>
          <w:rFonts w:cs="Arial" w:ascii="Arial" w:hAnsi="Arial"/>
          <w:bCs/>
          <w:sz w:val="20"/>
          <w:szCs w:val="20"/>
        </w:rPr>
        <w:t>Système Immunitaire et Reproduction à traiter impérativement en 6 semaines car prévues après l’épreuve de terminale</w:t>
      </w:r>
    </w:p>
    <w:p>
      <w:pPr>
        <w:pStyle w:val="Normal"/>
        <w:spacing w:lineRule="auto" w:line="240" w:before="0" w:after="0"/>
        <w:jc w:val="both"/>
        <w:rPr>
          <w:bCs/>
          <w:sz w:val="10"/>
          <w:szCs w:val="10"/>
        </w:rPr>
      </w:pPr>
      <w:r>
        <w:rPr>
          <w:bCs/>
          <w:sz w:val="10"/>
          <w:szCs w:val="10"/>
        </w:rPr>
      </w:r>
    </w:p>
    <w:tbl>
      <w:tblPr>
        <w:tblStyle w:val="Grilledutableau"/>
        <w:tblW w:w="9493"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4673"/>
        <w:gridCol w:w="3118"/>
        <w:gridCol w:w="1702"/>
      </w:tblGrid>
      <w:tr>
        <w:trPr/>
        <w:tc>
          <w:tcPr>
            <w:tcW w:w="4673" w:type="dxa"/>
            <w:tcBorders/>
          </w:tcPr>
          <w:p>
            <w:pPr>
              <w:pStyle w:val="Normal"/>
              <w:widowControl/>
              <w:spacing w:lineRule="auto" w:line="240" w:before="0" w:after="0"/>
              <w:jc w:val="both"/>
              <w:rPr>
                <w:rFonts w:ascii="Arial" w:hAnsi="Arial" w:cs="Arial"/>
                <w:sz w:val="20"/>
                <w:szCs w:val="20"/>
              </w:rPr>
            </w:pPr>
            <w:r>
              <w:rPr>
                <w:rFonts w:eastAsia="Calibri" w:cs="Arial" w:ascii="Arial" w:hAnsi="Arial"/>
                <w:kern w:val="0"/>
                <w:sz w:val="20"/>
                <w:szCs w:val="20"/>
                <w:lang w:val="fr-FR" w:eastAsia="en-US" w:bidi="ar-SA"/>
              </w:rPr>
            </w:r>
          </w:p>
        </w:tc>
        <w:tc>
          <w:tcPr>
            <w:tcW w:w="3118" w:type="dxa"/>
            <w:tcBorders/>
          </w:tcPr>
          <w:p>
            <w:pPr>
              <w:pStyle w:val="Normal"/>
              <w:widowControl/>
              <w:spacing w:lineRule="auto" w:line="240" w:before="0" w:after="0"/>
              <w:jc w:val="center"/>
              <w:rPr>
                <w:rFonts w:ascii="Arial" w:hAnsi="Arial" w:cs="Arial"/>
                <w:b/>
                <w:b/>
                <w:bCs/>
                <w:i/>
                <w:i/>
                <w:iCs/>
                <w:sz w:val="20"/>
                <w:szCs w:val="20"/>
              </w:rPr>
            </w:pPr>
            <w:r>
              <w:rPr>
                <w:rFonts w:eastAsia="Calibri" w:cs="Arial" w:ascii="Arial" w:hAnsi="Arial"/>
                <w:b/>
                <w:bCs/>
                <w:i/>
                <w:iCs/>
                <w:kern w:val="0"/>
                <w:sz w:val="20"/>
                <w:szCs w:val="20"/>
                <w:lang w:val="fr-FR" w:eastAsia="en-US" w:bidi="ar-SA"/>
              </w:rPr>
              <w:t>À quel moment de l’année ?</w:t>
            </w:r>
          </w:p>
        </w:tc>
        <w:tc>
          <w:tcPr>
            <w:tcW w:w="1702" w:type="dxa"/>
            <w:tcBorders/>
          </w:tcPr>
          <w:p>
            <w:pPr>
              <w:pStyle w:val="Normal"/>
              <w:widowControl/>
              <w:spacing w:lineRule="auto" w:line="240" w:before="0" w:after="0"/>
              <w:jc w:val="center"/>
              <w:rPr>
                <w:rFonts w:ascii="Arial" w:hAnsi="Arial" w:cs="Arial"/>
                <w:b/>
                <w:b/>
                <w:bCs/>
                <w:i/>
                <w:i/>
                <w:iCs/>
                <w:sz w:val="20"/>
                <w:szCs w:val="20"/>
              </w:rPr>
            </w:pPr>
            <w:r>
              <w:rPr>
                <w:rFonts w:eastAsia="Calibri" w:cs="Arial" w:ascii="Arial" w:hAnsi="Arial"/>
                <w:b/>
                <w:bCs/>
                <w:i/>
                <w:iCs/>
                <w:kern w:val="0"/>
                <w:sz w:val="20"/>
                <w:szCs w:val="20"/>
                <w:lang w:val="fr-FR" w:eastAsia="en-US" w:bidi="ar-SA"/>
              </w:rPr>
              <w:t>Durée estimée</w:t>
            </w:r>
          </w:p>
        </w:tc>
      </w:tr>
      <w:tr>
        <w:trPr/>
        <w:tc>
          <w:tcPr>
            <w:tcW w:w="4673" w:type="dxa"/>
            <w:tcBorders/>
          </w:tcPr>
          <w:p>
            <w:pPr>
              <w:pStyle w:val="Normal"/>
              <w:widowControl/>
              <w:spacing w:lineRule="auto" w:line="240" w:before="0" w:after="0"/>
              <w:ind w:left="339" w:right="459" w:hanging="364"/>
              <w:jc w:val="left"/>
              <w:rPr>
                <w:rFonts w:ascii="Arial" w:hAnsi="Arial" w:cs="Arial"/>
                <w:sz w:val="20"/>
                <w:szCs w:val="20"/>
              </w:rPr>
            </w:pPr>
            <w:r>
              <w:rPr>
                <w:rFonts w:eastAsia="Calibri" w:cs="Arial" w:ascii="Arial" w:hAnsi="Arial"/>
                <w:b/>
                <w:bCs/>
                <w:kern w:val="0"/>
                <w:sz w:val="20"/>
                <w:szCs w:val="20"/>
                <w:lang w:val="fr-FR" w:eastAsia="en-US" w:bidi="ar-SA"/>
              </w:rPr>
              <w:t xml:space="preserve">1 </w:t>
            </w:r>
            <w:r>
              <w:rPr>
                <w:rFonts w:eastAsia="Calibri"/>
                <w:b/>
                <w:bCs/>
                <w:color w:val="000000"/>
                <w:kern w:val="0"/>
                <w:sz w:val="24"/>
                <w:szCs w:val="24"/>
                <w:lang w:val="fr-FR" w:eastAsia="en-US" w:bidi="ar-SA"/>
              </w:rPr>
              <w:t>–</w:t>
            </w:r>
            <w:r>
              <w:rPr>
                <w:rFonts w:eastAsia="Calibri" w:cs="Arial" w:ascii="Arial" w:hAnsi="Arial"/>
                <w:b/>
                <w:bCs/>
                <w:kern w:val="0"/>
                <w:sz w:val="20"/>
                <w:szCs w:val="20"/>
                <w:lang w:val="fr-FR" w:eastAsia="en-US" w:bidi="ar-SA"/>
              </w:rPr>
              <w:t xml:space="preserve"> Milieu intérieur et homéostasie</w:t>
            </w:r>
          </w:p>
        </w:tc>
        <w:tc>
          <w:tcPr>
            <w:tcW w:w="3118" w:type="dxa"/>
            <w:tcBorders/>
            <w:vAlign w:val="center"/>
          </w:tcPr>
          <w:p>
            <w:pPr>
              <w:pStyle w:val="Contenudetableau"/>
              <w:widowControl/>
              <w:spacing w:lineRule="auto" w:line="240" w:before="0" w:after="0"/>
              <w:jc w:val="center"/>
              <w:rPr>
                <w:rFonts w:ascii="Arial" w:hAnsi="Arial" w:cs="Arial"/>
                <w:sz w:val="20"/>
                <w:szCs w:val="20"/>
              </w:rPr>
            </w:pPr>
            <w:r>
              <w:rPr>
                <w:rFonts w:eastAsia="Calibri" w:cs="Arial" w:ascii="Arial" w:hAnsi="Arial"/>
                <w:color w:val="000000"/>
                <w:kern w:val="0"/>
                <w:sz w:val="20"/>
                <w:szCs w:val="20"/>
                <w:lang w:val="fr-FR" w:eastAsia="en-US" w:bidi="ar-SA"/>
              </w:rPr>
              <w:t>Avant examen</w:t>
            </w:r>
          </w:p>
        </w:tc>
        <w:tc>
          <w:tcPr>
            <w:tcW w:w="1702" w:type="dxa"/>
            <w:tcBorders/>
            <w:vAlign w:val="center"/>
          </w:tcPr>
          <w:p>
            <w:pPr>
              <w:pStyle w:val="Normal"/>
              <w:widowControl/>
              <w:spacing w:lineRule="auto" w:line="240" w:before="0" w:after="0"/>
              <w:jc w:val="center"/>
              <w:rPr>
                <w:rFonts w:ascii="Arial" w:hAnsi="Arial" w:cs="Arial"/>
                <w:sz w:val="20"/>
                <w:szCs w:val="20"/>
              </w:rPr>
            </w:pPr>
            <w:r>
              <w:rPr>
                <w:rFonts w:eastAsia="Calibri" w:cs="Arial" w:ascii="Arial" w:hAnsi="Arial"/>
                <w:bCs/>
                <w:kern w:val="0"/>
                <w:sz w:val="20"/>
                <w:szCs w:val="20"/>
                <w:lang w:val="fr-FR" w:eastAsia="en-US" w:bidi="ar-SA"/>
              </w:rPr>
              <w:t>8 semaines</w:t>
            </w:r>
          </w:p>
        </w:tc>
      </w:tr>
      <w:tr>
        <w:trPr/>
        <w:tc>
          <w:tcPr>
            <w:tcW w:w="4673" w:type="dxa"/>
            <w:tcBorders/>
          </w:tcPr>
          <w:p>
            <w:pPr>
              <w:pStyle w:val="Normal"/>
              <w:widowControl/>
              <w:spacing w:lineRule="auto" w:line="240" w:before="0" w:after="0"/>
              <w:ind w:left="339" w:right="459" w:hanging="364"/>
              <w:jc w:val="left"/>
              <w:rPr>
                <w:rFonts w:ascii="Arial" w:hAnsi="Arial" w:cs="Arial"/>
                <w:sz w:val="20"/>
                <w:szCs w:val="20"/>
              </w:rPr>
            </w:pPr>
            <w:r>
              <w:rPr>
                <w:rFonts w:eastAsia="Calibri" w:cs="Arial" w:ascii="Arial" w:hAnsi="Arial"/>
                <w:b/>
                <w:bCs/>
                <w:kern w:val="0"/>
                <w:sz w:val="20"/>
                <w:szCs w:val="20"/>
                <w:lang w:val="fr-FR" w:eastAsia="en-US" w:bidi="ar-SA"/>
              </w:rPr>
              <w:t xml:space="preserve">2 </w:t>
            </w:r>
            <w:r>
              <w:rPr>
                <w:rFonts w:eastAsia="Calibri"/>
                <w:b/>
                <w:bCs/>
                <w:color w:val="000000"/>
                <w:kern w:val="0"/>
                <w:sz w:val="24"/>
                <w:szCs w:val="24"/>
                <w:lang w:val="fr-FR" w:eastAsia="en-US" w:bidi="ar-SA"/>
              </w:rPr>
              <w:t>– S</w:t>
            </w:r>
            <w:r>
              <w:rPr>
                <w:rFonts w:eastAsia="Calibri" w:cs="Arial" w:ascii="Arial" w:hAnsi="Arial"/>
                <w:b/>
                <w:bCs/>
                <w:kern w:val="0"/>
                <w:sz w:val="20"/>
                <w:szCs w:val="20"/>
                <w:lang w:val="fr-FR" w:eastAsia="en-US" w:bidi="ar-SA"/>
              </w:rPr>
              <w:t>ystème immunitaire et défense de  l’organisme</w:t>
            </w:r>
          </w:p>
        </w:tc>
        <w:tc>
          <w:tcPr>
            <w:tcW w:w="3118" w:type="dxa"/>
            <w:tcBorders/>
            <w:vAlign w:val="center"/>
          </w:tcPr>
          <w:p>
            <w:pPr>
              <w:pStyle w:val="Normal"/>
              <w:widowControl/>
              <w:spacing w:lineRule="auto" w:line="240" w:before="0" w:after="0"/>
              <w:jc w:val="center"/>
              <w:rPr>
                <w:rFonts w:ascii="Arial" w:hAnsi="Arial" w:cs="Arial"/>
                <w:sz w:val="20"/>
                <w:szCs w:val="20"/>
              </w:rPr>
            </w:pPr>
            <w:r>
              <w:rPr>
                <w:rFonts w:eastAsia="Calibri" w:cs="Arial" w:ascii="Arial" w:hAnsi="Arial"/>
                <w:kern w:val="0"/>
                <w:sz w:val="20"/>
                <w:szCs w:val="20"/>
                <w:lang w:val="fr-FR" w:eastAsia="en-US" w:bidi="ar-SA"/>
              </w:rPr>
              <w:t>Avant (années paires) ou après (années impaires) examen</w:t>
            </w:r>
          </w:p>
        </w:tc>
        <w:tc>
          <w:tcPr>
            <w:tcW w:w="1702" w:type="dxa"/>
            <w:tcBorders/>
            <w:vAlign w:val="center"/>
          </w:tcPr>
          <w:p>
            <w:pPr>
              <w:pStyle w:val="Normal"/>
              <w:widowControl/>
              <w:spacing w:lineRule="auto" w:line="240" w:before="0" w:after="0"/>
              <w:jc w:val="center"/>
              <w:rPr>
                <w:rFonts w:ascii="Arial" w:hAnsi="Arial" w:cs="Arial"/>
                <w:sz w:val="20"/>
                <w:szCs w:val="20"/>
              </w:rPr>
            </w:pPr>
            <w:r>
              <w:rPr>
                <w:rFonts w:eastAsia="Calibri" w:cs="Arial" w:ascii="Arial" w:hAnsi="Arial"/>
                <w:bCs/>
                <w:kern w:val="0"/>
                <w:sz w:val="20"/>
                <w:szCs w:val="20"/>
                <w:lang w:val="fr-FR" w:eastAsia="en-US" w:bidi="ar-SA"/>
              </w:rPr>
              <w:t>6 semaines</w:t>
            </w:r>
          </w:p>
        </w:tc>
      </w:tr>
      <w:tr>
        <w:trPr/>
        <w:tc>
          <w:tcPr>
            <w:tcW w:w="4673" w:type="dxa"/>
            <w:tcBorders/>
          </w:tcPr>
          <w:p>
            <w:pPr>
              <w:pStyle w:val="Normal"/>
              <w:widowControl/>
              <w:spacing w:lineRule="auto" w:line="240" w:before="0" w:after="0"/>
              <w:ind w:left="339" w:right="459" w:hanging="364"/>
              <w:jc w:val="left"/>
              <w:rPr>
                <w:rFonts w:ascii="Arial" w:hAnsi="Arial" w:cs="Arial"/>
                <w:sz w:val="20"/>
                <w:szCs w:val="20"/>
              </w:rPr>
            </w:pPr>
            <w:r>
              <w:rPr>
                <w:rFonts w:eastAsia="Calibri" w:cs="Arial" w:ascii="Arial" w:hAnsi="Arial"/>
                <w:b/>
                <w:bCs/>
                <w:kern w:val="0"/>
                <w:sz w:val="20"/>
                <w:szCs w:val="20"/>
                <w:lang w:val="fr-FR" w:eastAsia="en-US" w:bidi="ar-SA"/>
              </w:rPr>
              <w:t xml:space="preserve">3 </w:t>
            </w:r>
            <w:r>
              <w:rPr>
                <w:rFonts w:eastAsia="Calibri"/>
                <w:b/>
                <w:bCs/>
                <w:color w:val="000000"/>
                <w:kern w:val="0"/>
                <w:sz w:val="24"/>
                <w:szCs w:val="24"/>
                <w:lang w:val="fr-FR" w:eastAsia="en-US" w:bidi="ar-SA"/>
              </w:rPr>
              <w:t xml:space="preserve">– </w:t>
            </w:r>
            <w:r>
              <w:rPr>
                <w:rFonts w:eastAsia="Calibri" w:cs="Arial" w:ascii="Arial" w:hAnsi="Arial"/>
                <w:b/>
                <w:bCs/>
                <w:kern w:val="0"/>
                <w:sz w:val="20"/>
                <w:szCs w:val="20"/>
                <w:lang w:val="fr-FR" w:eastAsia="en-US" w:bidi="ar-SA"/>
              </w:rPr>
              <w:t>Appareil reproducteur et transmission de la vie</w:t>
            </w:r>
          </w:p>
        </w:tc>
        <w:tc>
          <w:tcPr>
            <w:tcW w:w="3118" w:type="dxa"/>
            <w:tcBorders/>
            <w:vAlign w:val="center"/>
          </w:tcPr>
          <w:p>
            <w:pPr>
              <w:pStyle w:val="Normal"/>
              <w:widowControl/>
              <w:spacing w:lineRule="auto" w:line="240" w:before="0" w:after="0"/>
              <w:jc w:val="center"/>
              <w:rPr>
                <w:rFonts w:ascii="Arial" w:hAnsi="Arial" w:cs="Arial"/>
                <w:sz w:val="20"/>
                <w:szCs w:val="20"/>
              </w:rPr>
            </w:pPr>
            <w:r>
              <w:rPr>
                <w:rFonts w:eastAsia="Calibri" w:cs="Arial" w:ascii="Arial" w:hAnsi="Arial"/>
                <w:kern w:val="0"/>
                <w:sz w:val="20"/>
                <w:szCs w:val="20"/>
                <w:lang w:val="fr-FR" w:eastAsia="en-US" w:bidi="ar-SA"/>
              </w:rPr>
              <w:t xml:space="preserve">Avant (années </w:t>
            </w:r>
            <w:r>
              <w:rPr>
                <w:rFonts w:eastAsia="Calibri" w:cs="Arial" w:ascii="Arial" w:hAnsi="Arial"/>
                <w:kern w:val="0"/>
                <w:sz w:val="20"/>
                <w:szCs w:val="20"/>
                <w:lang w:val="fr-FR" w:eastAsia="en-US" w:bidi="ar-SA"/>
              </w:rPr>
              <w:t>im</w:t>
            </w:r>
            <w:r>
              <w:rPr>
                <w:rFonts w:eastAsia="Calibri" w:cs="Arial" w:ascii="Arial" w:hAnsi="Arial"/>
                <w:kern w:val="0"/>
                <w:sz w:val="20"/>
                <w:szCs w:val="20"/>
                <w:lang w:val="fr-FR" w:eastAsia="en-US" w:bidi="ar-SA"/>
              </w:rPr>
              <w:t>paires) ou après (années paires) examen</w:t>
            </w:r>
          </w:p>
        </w:tc>
        <w:tc>
          <w:tcPr>
            <w:tcW w:w="1702" w:type="dxa"/>
            <w:tcBorders/>
            <w:vAlign w:val="center"/>
          </w:tcPr>
          <w:p>
            <w:pPr>
              <w:pStyle w:val="Normal"/>
              <w:widowControl/>
              <w:spacing w:lineRule="auto" w:line="240" w:before="0" w:after="0"/>
              <w:jc w:val="center"/>
              <w:rPr>
                <w:rFonts w:ascii="Arial" w:hAnsi="Arial" w:cs="Arial"/>
                <w:sz w:val="20"/>
                <w:szCs w:val="20"/>
              </w:rPr>
            </w:pPr>
            <w:r>
              <w:rPr>
                <w:rFonts w:eastAsia="Calibri" w:cs="Arial" w:ascii="Arial" w:hAnsi="Arial"/>
                <w:bCs/>
                <w:kern w:val="0"/>
                <w:sz w:val="20"/>
                <w:szCs w:val="20"/>
                <w:lang w:val="fr-FR" w:eastAsia="en-US" w:bidi="ar-SA"/>
              </w:rPr>
              <w:t>6 semaines</w:t>
            </w:r>
          </w:p>
        </w:tc>
      </w:tr>
      <w:tr>
        <w:trPr/>
        <w:tc>
          <w:tcPr>
            <w:tcW w:w="4673" w:type="dxa"/>
            <w:tcBorders/>
          </w:tcPr>
          <w:p>
            <w:pPr>
              <w:pStyle w:val="Normal"/>
              <w:widowControl/>
              <w:spacing w:lineRule="auto" w:line="240" w:before="0" w:after="0"/>
              <w:ind w:left="339" w:right="459" w:hanging="364"/>
              <w:jc w:val="left"/>
              <w:rPr>
                <w:rFonts w:ascii="Arial" w:hAnsi="Arial" w:cs="Arial"/>
                <w:sz w:val="20"/>
                <w:szCs w:val="20"/>
              </w:rPr>
            </w:pPr>
            <w:r>
              <w:rPr>
                <w:rFonts w:eastAsia="Calibri" w:cs="Arial" w:ascii="Arial" w:hAnsi="Arial"/>
                <w:b/>
                <w:bCs/>
                <w:kern w:val="0"/>
                <w:sz w:val="20"/>
                <w:szCs w:val="20"/>
                <w:lang w:val="fr-FR" w:eastAsia="en-US" w:bidi="ar-SA"/>
              </w:rPr>
              <w:t xml:space="preserve">4 </w:t>
            </w:r>
            <w:r>
              <w:rPr>
                <w:rFonts w:eastAsia="Calibri"/>
                <w:b/>
                <w:bCs/>
                <w:color w:val="000000"/>
                <w:kern w:val="0"/>
                <w:sz w:val="24"/>
                <w:szCs w:val="24"/>
                <w:lang w:val="fr-FR" w:eastAsia="en-US" w:bidi="ar-SA"/>
              </w:rPr>
              <w:t xml:space="preserve">– </w:t>
            </w:r>
            <w:r>
              <w:rPr>
                <w:rFonts w:eastAsia="Calibri" w:cs="Arial" w:ascii="Arial" w:hAnsi="Arial"/>
                <w:b/>
                <w:bCs/>
                <w:kern w:val="0"/>
                <w:sz w:val="20"/>
                <w:szCs w:val="20"/>
                <w:lang w:val="fr-FR" w:eastAsia="en-US" w:bidi="ar-SA"/>
              </w:rPr>
              <w:t>Gènes et transmission de l’information génétique</w:t>
            </w:r>
          </w:p>
        </w:tc>
        <w:tc>
          <w:tcPr>
            <w:tcW w:w="3118" w:type="dxa"/>
            <w:tcBorders/>
            <w:vAlign w:val="center"/>
          </w:tcPr>
          <w:p>
            <w:pPr>
              <w:pStyle w:val="Contenudetableau"/>
              <w:widowControl/>
              <w:spacing w:lineRule="auto" w:line="240" w:before="0" w:after="0"/>
              <w:jc w:val="center"/>
              <w:rPr>
                <w:rFonts w:ascii="Arial" w:hAnsi="Arial" w:cs="Arial"/>
                <w:sz w:val="20"/>
                <w:szCs w:val="20"/>
              </w:rPr>
            </w:pPr>
            <w:r>
              <w:rPr>
                <w:rFonts w:eastAsia="Calibri" w:cs="Arial" w:ascii="Arial" w:hAnsi="Arial"/>
                <w:color w:val="000000"/>
                <w:kern w:val="0"/>
                <w:sz w:val="20"/>
                <w:szCs w:val="20"/>
                <w:lang w:val="fr-FR" w:eastAsia="en-US" w:bidi="ar-SA"/>
              </w:rPr>
              <w:t>Avant examen</w:t>
            </w:r>
          </w:p>
          <w:p>
            <w:pPr>
              <w:pStyle w:val="Normal"/>
              <w:widowControl/>
              <w:spacing w:lineRule="auto" w:line="240" w:before="0" w:after="0"/>
              <w:jc w:val="center"/>
              <w:rPr>
                <w:rFonts w:ascii="Arial" w:hAnsi="Arial" w:cs="Arial"/>
                <w:sz w:val="20"/>
                <w:szCs w:val="20"/>
              </w:rPr>
            </w:pPr>
            <w:r>
              <w:rPr>
                <w:rFonts w:eastAsia="Calibri" w:cs="Arial" w:ascii="Arial" w:hAnsi="Arial"/>
                <w:kern w:val="0"/>
                <w:sz w:val="20"/>
                <w:szCs w:val="20"/>
                <w:lang w:val="fr-FR" w:eastAsia="en-US" w:bidi="ar-SA"/>
              </w:rPr>
            </w:r>
          </w:p>
        </w:tc>
        <w:tc>
          <w:tcPr>
            <w:tcW w:w="1702" w:type="dxa"/>
            <w:tcBorders/>
            <w:vAlign w:val="center"/>
          </w:tcPr>
          <w:p>
            <w:pPr>
              <w:pStyle w:val="Normal"/>
              <w:widowControl/>
              <w:spacing w:lineRule="auto" w:line="240" w:before="0" w:after="0"/>
              <w:jc w:val="center"/>
              <w:rPr>
                <w:rFonts w:ascii="Arial" w:hAnsi="Arial" w:cs="Arial"/>
                <w:sz w:val="20"/>
                <w:szCs w:val="20"/>
              </w:rPr>
            </w:pPr>
            <w:r>
              <w:rPr>
                <w:rFonts w:eastAsia="Calibri" w:cs="Arial" w:ascii="Arial" w:hAnsi="Arial"/>
                <w:bCs/>
                <w:kern w:val="0"/>
                <w:sz w:val="20"/>
                <w:szCs w:val="20"/>
                <w:lang w:val="fr-FR" w:eastAsia="en-US" w:bidi="ar-SA"/>
              </w:rPr>
              <w:t>8 semaines</w:t>
            </w:r>
          </w:p>
        </w:tc>
      </w:tr>
    </w:tbl>
    <w:p>
      <w:pPr>
        <w:pStyle w:val="Normal"/>
        <w:spacing w:lineRule="auto" w:line="240" w:before="0" w:after="0"/>
        <w:jc w:val="both"/>
        <w:rPr>
          <w:rFonts w:ascii="Arial" w:hAnsi="Arial" w:cs="Arial"/>
        </w:rPr>
      </w:pPr>
      <w:r>
        <w:rPr>
          <w:rFonts w:cs="Arial" w:ascii="Arial" w:hAnsi="Arial"/>
        </w:rPr>
      </w:r>
    </w:p>
    <w:p>
      <w:pPr>
        <w:pStyle w:val="Normal"/>
        <w:spacing w:lineRule="auto" w:line="240" w:before="0" w:after="0"/>
        <w:jc w:val="both"/>
        <w:rPr>
          <w:rFonts w:ascii="Arial" w:hAnsi="Arial" w:cs="Arial"/>
        </w:rPr>
      </w:pPr>
      <w:r>
        <w:rPr>
          <w:rFonts w:cs="Arial" w:ascii="Arial" w:hAnsi="Arial"/>
          <w:b/>
          <w:bCs/>
          <w:u w:val="single"/>
        </w:rPr>
        <w:t>Programme de Chimie</w:t>
      </w:r>
      <w:r>
        <w:rPr>
          <w:rFonts w:cs="Arial" w:ascii="Arial" w:hAnsi="Arial"/>
        </w:rPr>
        <w:t xml:space="preserve"> : </w:t>
      </w:r>
    </w:p>
    <w:p>
      <w:pPr>
        <w:pStyle w:val="Normal"/>
        <w:spacing w:lineRule="auto" w:line="240" w:before="0" w:after="0"/>
        <w:jc w:val="both"/>
        <w:rPr>
          <w:sz w:val="16"/>
          <w:szCs w:val="16"/>
        </w:rPr>
      </w:pPr>
      <w:r>
        <w:rPr>
          <w:rFonts w:cs="Arial" w:ascii="Arial" w:hAnsi="Arial"/>
          <w:sz w:val="20"/>
          <w:szCs w:val="20"/>
        </w:rPr>
        <w:t>Tient compte des parties à reporter après l’examen.</w:t>
      </w:r>
      <w:r>
        <w:rPr>
          <w:sz w:val="16"/>
          <w:szCs w:val="16"/>
        </w:rPr>
        <w:t xml:space="preserve"> </w:t>
      </w:r>
    </w:p>
    <w:p>
      <w:pPr>
        <w:pStyle w:val="Normal"/>
        <w:spacing w:lineRule="auto" w:line="240" w:before="0" w:after="0"/>
        <w:jc w:val="both"/>
        <w:rPr>
          <w:sz w:val="10"/>
          <w:szCs w:val="10"/>
        </w:rPr>
      </w:pPr>
      <w:r>
        <w:rPr>
          <w:sz w:val="10"/>
          <w:szCs w:val="10"/>
        </w:rPr>
      </w:r>
    </w:p>
    <w:tbl>
      <w:tblPr>
        <w:tblStyle w:val="Grilledutableau"/>
        <w:tblW w:w="9493"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4673"/>
        <w:gridCol w:w="3118"/>
        <w:gridCol w:w="1702"/>
      </w:tblGrid>
      <w:tr>
        <w:trPr/>
        <w:tc>
          <w:tcPr>
            <w:tcW w:w="4673" w:type="dxa"/>
            <w:tcBorders/>
          </w:tcPr>
          <w:p>
            <w:pPr>
              <w:pStyle w:val="Normal"/>
              <w:widowControl/>
              <w:spacing w:lineRule="auto" w:line="240" w:before="0" w:after="0"/>
              <w:jc w:val="both"/>
              <w:rPr>
                <w:rFonts w:ascii="Arial" w:hAnsi="Arial" w:cs="Arial"/>
                <w:sz w:val="20"/>
                <w:szCs w:val="20"/>
              </w:rPr>
            </w:pPr>
            <w:r>
              <w:rPr>
                <w:rFonts w:eastAsia="Calibri" w:cs="Arial" w:ascii="Arial" w:hAnsi="Arial"/>
                <w:kern w:val="0"/>
                <w:sz w:val="20"/>
                <w:szCs w:val="20"/>
                <w:lang w:val="fr-FR" w:eastAsia="en-US" w:bidi="ar-SA"/>
              </w:rPr>
            </w:r>
          </w:p>
        </w:tc>
        <w:tc>
          <w:tcPr>
            <w:tcW w:w="3118" w:type="dxa"/>
            <w:tcBorders/>
          </w:tcPr>
          <w:p>
            <w:pPr>
              <w:pStyle w:val="Normal"/>
              <w:widowControl/>
              <w:spacing w:lineRule="auto" w:line="240" w:before="0" w:after="0"/>
              <w:jc w:val="center"/>
              <w:rPr>
                <w:rFonts w:ascii="Arial" w:hAnsi="Arial" w:cs="Arial"/>
                <w:sz w:val="20"/>
                <w:szCs w:val="20"/>
              </w:rPr>
            </w:pPr>
            <w:r>
              <w:rPr>
                <w:rFonts w:eastAsia="Calibri" w:cs="Arial" w:ascii="Arial" w:hAnsi="Arial"/>
                <w:b/>
                <w:bCs/>
                <w:i/>
                <w:iCs/>
                <w:kern w:val="0"/>
                <w:sz w:val="20"/>
                <w:szCs w:val="20"/>
                <w:lang w:val="fr-FR" w:eastAsia="en-US" w:bidi="ar-SA"/>
              </w:rPr>
              <w:t>À quel moment de l’année ?</w:t>
            </w:r>
          </w:p>
        </w:tc>
        <w:tc>
          <w:tcPr>
            <w:tcW w:w="1702" w:type="dxa"/>
            <w:tcBorders/>
          </w:tcPr>
          <w:p>
            <w:pPr>
              <w:pStyle w:val="Normal"/>
              <w:widowControl/>
              <w:spacing w:lineRule="auto" w:line="240" w:before="0" w:after="0"/>
              <w:jc w:val="center"/>
              <w:rPr>
                <w:rFonts w:ascii="Arial" w:hAnsi="Arial" w:cs="Arial"/>
                <w:sz w:val="20"/>
                <w:szCs w:val="20"/>
              </w:rPr>
            </w:pPr>
            <w:r>
              <w:rPr>
                <w:rFonts w:eastAsia="Calibri" w:cs="Arial" w:ascii="Arial" w:hAnsi="Arial"/>
                <w:b/>
                <w:bCs/>
                <w:i/>
                <w:iCs/>
                <w:kern w:val="0"/>
                <w:sz w:val="20"/>
                <w:szCs w:val="20"/>
                <w:lang w:val="fr-FR" w:eastAsia="en-US" w:bidi="ar-SA"/>
              </w:rPr>
              <w:t>Durée estimée</w:t>
            </w:r>
          </w:p>
        </w:tc>
      </w:tr>
      <w:tr>
        <w:trPr/>
        <w:tc>
          <w:tcPr>
            <w:tcW w:w="4673" w:type="dxa"/>
            <w:tcBorders/>
          </w:tcPr>
          <w:p>
            <w:pPr>
              <w:pStyle w:val="Normal"/>
              <w:widowControl/>
              <w:spacing w:lineRule="auto" w:line="240" w:before="0" w:after="0"/>
              <w:ind w:left="306" w:right="459" w:hanging="306"/>
              <w:jc w:val="left"/>
              <w:rPr>
                <w:rFonts w:ascii="Arial" w:hAnsi="Arial" w:cs="Arial"/>
                <w:sz w:val="20"/>
                <w:szCs w:val="20"/>
              </w:rPr>
            </w:pPr>
            <w:r>
              <w:rPr>
                <w:rFonts w:eastAsia="Calibri"/>
                <w:b/>
                <w:bCs/>
                <w:color w:val="000000"/>
                <w:kern w:val="0"/>
                <w:sz w:val="24"/>
                <w:szCs w:val="24"/>
                <w:lang w:val="fr-FR" w:eastAsia="en-US" w:bidi="ar-SA"/>
              </w:rPr>
              <w:t>1 – Prévenir et sécuriser</w:t>
            </w:r>
          </w:p>
        </w:tc>
        <w:tc>
          <w:tcPr>
            <w:tcW w:w="3118" w:type="dxa"/>
            <w:tcBorders/>
            <w:vAlign w:val="center"/>
          </w:tcPr>
          <w:p>
            <w:pPr>
              <w:pStyle w:val="Contenudetableau"/>
              <w:widowControl/>
              <w:spacing w:lineRule="auto" w:line="240" w:before="0" w:after="0"/>
              <w:jc w:val="center"/>
              <w:rPr>
                <w:rFonts w:ascii="Arial" w:hAnsi="Arial" w:cs="Arial"/>
                <w:sz w:val="20"/>
                <w:szCs w:val="20"/>
              </w:rPr>
            </w:pPr>
            <w:r>
              <w:rPr>
                <w:rFonts w:eastAsia="Calibri" w:cs="Arial" w:ascii="Arial" w:hAnsi="Arial"/>
                <w:color w:val="000000"/>
                <w:kern w:val="0"/>
                <w:sz w:val="20"/>
                <w:szCs w:val="20"/>
                <w:lang w:val="fr-FR" w:eastAsia="en-US" w:bidi="ar-SA"/>
              </w:rPr>
              <w:t>Avant examen</w:t>
            </w:r>
          </w:p>
        </w:tc>
        <w:tc>
          <w:tcPr>
            <w:tcW w:w="1702" w:type="dxa"/>
            <w:tcBorders/>
            <w:vAlign w:val="center"/>
          </w:tcPr>
          <w:p>
            <w:pPr>
              <w:pStyle w:val="Normal"/>
              <w:widowControl/>
              <w:spacing w:lineRule="auto" w:line="240" w:before="0" w:after="0"/>
              <w:jc w:val="center"/>
              <w:rPr>
                <w:rFonts w:ascii="Arial" w:hAnsi="Arial" w:cs="Arial"/>
                <w:sz w:val="20"/>
                <w:szCs w:val="20"/>
              </w:rPr>
            </w:pPr>
            <w:r>
              <w:rPr>
                <w:rFonts w:eastAsia="Calibri" w:cs="Arial" w:ascii="Arial" w:hAnsi="Arial"/>
                <w:bCs/>
                <w:kern w:val="0"/>
                <w:sz w:val="20"/>
                <w:szCs w:val="20"/>
                <w:lang w:val="fr-FR" w:eastAsia="en-US" w:bidi="ar-SA"/>
              </w:rPr>
              <w:t>7 semaines</w:t>
            </w:r>
          </w:p>
        </w:tc>
      </w:tr>
      <w:tr>
        <w:trPr/>
        <w:tc>
          <w:tcPr>
            <w:tcW w:w="4673" w:type="dxa"/>
            <w:tcBorders/>
          </w:tcPr>
          <w:p>
            <w:pPr>
              <w:pStyle w:val="Normal"/>
              <w:widowControl/>
              <w:spacing w:lineRule="auto" w:line="240" w:before="0" w:after="0"/>
              <w:ind w:left="306" w:right="459" w:hanging="306"/>
              <w:jc w:val="left"/>
              <w:rPr>
                <w:rFonts w:ascii="Arial" w:hAnsi="Arial" w:cs="Arial"/>
                <w:sz w:val="20"/>
                <w:szCs w:val="20"/>
              </w:rPr>
            </w:pPr>
            <w:r>
              <w:rPr>
                <w:rFonts w:eastAsia="Calibri"/>
                <w:b/>
                <w:bCs/>
                <w:color w:val="000000"/>
                <w:kern w:val="0"/>
                <w:sz w:val="24"/>
                <w:szCs w:val="24"/>
                <w:lang w:val="fr-FR" w:eastAsia="en-US" w:bidi="ar-SA"/>
              </w:rPr>
              <w:t>2 – Analyser et diagnostiquer</w:t>
            </w:r>
          </w:p>
        </w:tc>
        <w:tc>
          <w:tcPr>
            <w:tcW w:w="3118" w:type="dxa"/>
            <w:tcBorders/>
            <w:vAlign w:val="center"/>
          </w:tcPr>
          <w:p>
            <w:pPr>
              <w:pStyle w:val="Normal"/>
              <w:widowControl/>
              <w:spacing w:lineRule="auto" w:line="240" w:before="0" w:after="0"/>
              <w:jc w:val="center"/>
              <w:rPr>
                <w:rFonts w:ascii="Arial" w:hAnsi="Arial" w:cs="Arial"/>
                <w:sz w:val="20"/>
                <w:szCs w:val="20"/>
              </w:rPr>
            </w:pPr>
            <w:r>
              <w:rPr>
                <w:rFonts w:eastAsia="Calibri" w:cs="Arial" w:ascii="Arial" w:hAnsi="Arial"/>
                <w:kern w:val="0"/>
                <w:sz w:val="20"/>
                <w:szCs w:val="20"/>
                <w:lang w:val="fr-FR" w:eastAsia="en-US" w:bidi="ar-SA"/>
              </w:rPr>
              <w:t>Avant examen</w:t>
            </w:r>
          </w:p>
        </w:tc>
        <w:tc>
          <w:tcPr>
            <w:tcW w:w="1702" w:type="dxa"/>
            <w:tcBorders/>
            <w:vAlign w:val="center"/>
          </w:tcPr>
          <w:p>
            <w:pPr>
              <w:pStyle w:val="Normal"/>
              <w:widowControl/>
              <w:spacing w:lineRule="auto" w:line="240" w:before="0" w:after="0"/>
              <w:jc w:val="center"/>
              <w:rPr>
                <w:rFonts w:ascii="Arial" w:hAnsi="Arial" w:cs="Arial"/>
                <w:sz w:val="20"/>
                <w:szCs w:val="20"/>
              </w:rPr>
            </w:pPr>
            <w:r>
              <w:rPr>
                <w:rFonts w:eastAsia="Calibri" w:cs="Arial" w:ascii="Arial" w:hAnsi="Arial"/>
                <w:bCs/>
                <w:kern w:val="0"/>
                <w:sz w:val="20"/>
                <w:szCs w:val="20"/>
                <w:lang w:val="fr-FR" w:eastAsia="en-US" w:bidi="ar-SA"/>
              </w:rPr>
              <w:t>8 semaines</w:t>
            </w:r>
          </w:p>
        </w:tc>
      </w:tr>
      <w:tr>
        <w:trPr/>
        <w:tc>
          <w:tcPr>
            <w:tcW w:w="4673" w:type="dxa"/>
            <w:tcBorders/>
          </w:tcPr>
          <w:p>
            <w:pPr>
              <w:pStyle w:val="Normal"/>
              <w:widowControl/>
              <w:spacing w:lineRule="auto" w:line="240" w:before="0" w:after="0"/>
              <w:ind w:left="306" w:right="459" w:hanging="306"/>
              <w:jc w:val="left"/>
              <w:rPr>
                <w:rFonts w:ascii="Arial" w:hAnsi="Arial" w:cs="Arial"/>
                <w:sz w:val="20"/>
                <w:szCs w:val="20"/>
              </w:rPr>
            </w:pPr>
            <w:r>
              <w:rPr>
                <w:rFonts w:eastAsia="Calibri"/>
                <w:b/>
                <w:bCs/>
                <w:color w:val="000000"/>
                <w:kern w:val="0"/>
                <w:sz w:val="24"/>
                <w:szCs w:val="24"/>
                <w:lang w:val="fr-FR" w:eastAsia="en-US" w:bidi="ar-SA"/>
              </w:rPr>
              <w:t>3 – Faire des choix autonomes et responsables</w:t>
            </w:r>
          </w:p>
        </w:tc>
        <w:tc>
          <w:tcPr>
            <w:tcW w:w="3118" w:type="dxa"/>
            <w:tcBorders/>
            <w:vAlign w:val="center"/>
          </w:tcPr>
          <w:p>
            <w:pPr>
              <w:pStyle w:val="Normal"/>
              <w:widowControl/>
              <w:spacing w:lineRule="auto" w:line="240" w:before="0" w:after="0"/>
              <w:jc w:val="center"/>
              <w:rPr>
                <w:rFonts w:ascii="Arial" w:hAnsi="Arial" w:cs="Arial"/>
                <w:sz w:val="20"/>
                <w:szCs w:val="20"/>
              </w:rPr>
            </w:pPr>
            <w:r>
              <w:rPr>
                <w:rFonts w:eastAsia="Calibri" w:cs="Arial" w:ascii="Arial" w:hAnsi="Arial"/>
                <w:kern w:val="0"/>
                <w:sz w:val="20"/>
                <w:szCs w:val="20"/>
                <w:lang w:val="fr-FR" w:eastAsia="en-US" w:bidi="ar-SA"/>
              </w:rPr>
              <w:t>Avant examen</w:t>
            </w:r>
          </w:p>
        </w:tc>
        <w:tc>
          <w:tcPr>
            <w:tcW w:w="1702" w:type="dxa"/>
            <w:tcBorders/>
            <w:vAlign w:val="center"/>
          </w:tcPr>
          <w:p>
            <w:pPr>
              <w:pStyle w:val="Normal"/>
              <w:widowControl/>
              <w:spacing w:lineRule="auto" w:line="240" w:before="0" w:after="0"/>
              <w:jc w:val="center"/>
              <w:rPr>
                <w:rFonts w:ascii="Arial" w:hAnsi="Arial" w:cs="Arial"/>
                <w:sz w:val="20"/>
                <w:szCs w:val="20"/>
              </w:rPr>
            </w:pPr>
            <w:r>
              <w:rPr>
                <w:rFonts w:eastAsia="Calibri" w:cs="Arial" w:ascii="Arial" w:hAnsi="Arial"/>
                <w:bCs/>
                <w:kern w:val="0"/>
                <w:sz w:val="20"/>
                <w:szCs w:val="20"/>
                <w:lang w:val="fr-FR" w:eastAsia="en-US" w:bidi="ar-SA"/>
              </w:rPr>
              <w:t>8 semaines</w:t>
            </w:r>
          </w:p>
        </w:tc>
      </w:tr>
    </w:tbl>
    <w:p>
      <w:pPr>
        <w:pStyle w:val="Normal"/>
        <w:spacing w:before="0" w:after="0"/>
        <w:rPr>
          <w:rFonts w:ascii="Arial" w:hAnsi="Arial" w:cs="Arial"/>
          <w:b/>
          <w:b/>
          <w:bCs/>
          <w:sz w:val="24"/>
          <w:szCs w:val="24"/>
        </w:rPr>
      </w:pPr>
      <w:r>
        <w:rPr>
          <w:rFonts w:cs="Arial" w:ascii="Arial" w:hAnsi="Arial"/>
          <w:b/>
          <w:bCs/>
          <w:sz w:val="24"/>
          <w:szCs w:val="24"/>
        </w:rPr>
      </w:r>
    </w:p>
    <w:p>
      <w:pPr>
        <w:pStyle w:val="Normal"/>
        <w:spacing w:before="0" w:after="0"/>
        <w:rPr>
          <w:rFonts w:ascii="Arial" w:hAnsi="Arial" w:cs="Arial"/>
          <w:b/>
          <w:b/>
          <w:bCs/>
          <w:sz w:val="24"/>
          <w:szCs w:val="24"/>
        </w:rPr>
      </w:pPr>
      <w:r>
        <w:rPr>
          <w:rFonts w:cs="Arial" w:ascii="Arial" w:hAnsi="Arial"/>
          <w:b/>
          <w:bCs/>
          <w:sz w:val="24"/>
          <w:szCs w:val="24"/>
        </w:rPr>
      </w:r>
    </w:p>
    <w:p>
      <w:pPr>
        <w:pStyle w:val="Normal"/>
        <w:spacing w:before="0" w:after="0"/>
        <w:rPr>
          <w:rFonts w:ascii="Arial" w:hAnsi="Arial" w:cs="Arial"/>
          <w:b/>
          <w:b/>
          <w:bCs/>
          <w:sz w:val="24"/>
          <w:szCs w:val="24"/>
        </w:rPr>
      </w:pPr>
      <w:r>
        <w:rPr>
          <w:rFonts w:cs="Arial" w:ascii="Arial" w:hAnsi="Arial"/>
          <w:b/>
          <w:bCs/>
          <w:sz w:val="24"/>
          <w:szCs w:val="24"/>
        </w:rPr>
      </w:r>
    </w:p>
    <w:p>
      <w:pPr>
        <w:pStyle w:val="Normal"/>
        <w:spacing w:lineRule="auto" w:line="240" w:before="0" w:after="0"/>
        <w:rPr>
          <w:rFonts w:ascii="Arial" w:hAnsi="Arial" w:cs="Arial"/>
          <w:b/>
          <w:b/>
          <w:bCs/>
          <w:sz w:val="24"/>
          <w:szCs w:val="24"/>
        </w:rPr>
      </w:pPr>
      <w:r>
        <w:rPr>
          <w:rFonts w:cs="Arial" w:ascii="Arial" w:hAnsi="Arial"/>
          <w:b/>
          <w:bCs/>
          <w:sz w:val="24"/>
          <w:szCs w:val="24"/>
        </w:rPr>
        <w:t>2. Liens entre les programmes de BPH et de Chimie, en classe de terminale.</w:t>
      </w:r>
    </w:p>
    <w:p>
      <w:pPr>
        <w:pStyle w:val="Normal"/>
        <w:spacing w:lineRule="auto" w:line="240" w:before="0" w:after="0"/>
        <w:rPr>
          <w:b/>
          <w:b/>
          <w:bCs/>
        </w:rPr>
      </w:pPr>
      <w:r>
        <w:rPr>
          <w:b/>
          <w:bCs/>
        </w:rPr>
      </w:r>
    </w:p>
    <w:p>
      <w:pPr>
        <w:pStyle w:val="ListParagraph"/>
        <w:ind w:left="644" w:hanging="0"/>
        <w:rPr>
          <w:b/>
          <w:b/>
          <w:bCs/>
        </w:rPr>
      </w:pPr>
      <w:r>
        <w:rPr>
          <w:b/>
          <w:bCs/>
        </w:rPr>
        <w:t>Milieu intérieur et homéostasie</w:t>
      </w:r>
    </w:p>
    <w:tbl>
      <w:tblPr>
        <w:tblStyle w:val="Grilledutableau"/>
        <w:tblW w:w="9776"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3011"/>
        <w:gridCol w:w="6764"/>
      </w:tblGrid>
      <w:tr>
        <w:trPr/>
        <w:tc>
          <w:tcPr>
            <w:tcW w:w="3011" w:type="dxa"/>
            <w:tcBorders/>
            <w:shd w:color="auto" w:fill="auto" w:val="clear"/>
          </w:tcPr>
          <w:p>
            <w:pPr>
              <w:pStyle w:val="Normal"/>
              <w:widowControl/>
              <w:spacing w:lineRule="auto" w:line="240" w:before="0" w:after="0"/>
              <w:jc w:val="center"/>
              <w:rPr>
                <w:b/>
                <w:b/>
                <w:bCs/>
              </w:rPr>
            </w:pPr>
            <w:r>
              <w:rPr>
                <w:rFonts w:eastAsia="Calibri" w:cs=""/>
                <w:b/>
                <w:bCs/>
                <w:kern w:val="0"/>
                <w:szCs w:val="22"/>
                <w:lang w:val="fr-FR" w:eastAsia="en-US" w:bidi="ar-SA"/>
              </w:rPr>
              <w:t>Biologie</w:t>
            </w:r>
          </w:p>
        </w:tc>
        <w:tc>
          <w:tcPr>
            <w:tcW w:w="6764" w:type="dxa"/>
            <w:tcBorders/>
            <w:shd w:color="auto" w:fill="auto" w:val="clear"/>
          </w:tcPr>
          <w:p>
            <w:pPr>
              <w:pStyle w:val="Normal"/>
              <w:widowControl/>
              <w:spacing w:lineRule="auto" w:line="240" w:before="0" w:after="0"/>
              <w:jc w:val="center"/>
              <w:rPr>
                <w:rFonts w:ascii="Calibri" w:hAnsi="Calibri" w:eastAsia="Calibri" w:cs=""/>
                <w:kern w:val="0"/>
                <w:szCs w:val="22"/>
                <w:lang w:val="fr-FR" w:eastAsia="en-US" w:bidi="ar-SA"/>
              </w:rPr>
            </w:pPr>
            <w:r>
              <w:rPr>
                <w:rFonts w:eastAsia="Calibri" w:cs=""/>
                <w:b/>
                <w:bCs/>
                <w:kern w:val="0"/>
                <w:szCs w:val="22"/>
                <w:lang w:val="fr-FR" w:eastAsia="en-US" w:bidi="ar-SA"/>
              </w:rPr>
              <w:t>Chimie - Thèmes 2 et 3</w:t>
            </w:r>
          </w:p>
        </w:tc>
      </w:tr>
      <w:tr>
        <w:trPr/>
        <w:tc>
          <w:tcPr>
            <w:tcW w:w="3011" w:type="dxa"/>
            <w:tcBorders/>
            <w:shd w:color="auto" w:fill="auto" w:val="clear"/>
          </w:tcPr>
          <w:p>
            <w:pPr>
              <w:pStyle w:val="Normal"/>
              <w:widowControl/>
              <w:spacing w:lineRule="auto" w:line="240" w:before="0" w:after="0"/>
              <w:jc w:val="left"/>
              <w:rPr>
                <w:rFonts w:ascii="Calibri" w:hAnsi="Calibri" w:eastAsia="Calibri" w:cs=""/>
                <w:kern w:val="0"/>
                <w:szCs w:val="22"/>
                <w:lang w:val="fr-FR" w:eastAsia="en-US" w:bidi="ar-SA"/>
              </w:rPr>
            </w:pPr>
            <w:r>
              <w:rPr>
                <w:rFonts w:eastAsia="Calibri" w:cs=""/>
                <w:kern w:val="0"/>
                <w:szCs w:val="22"/>
                <w:lang w:val="fr-FR" w:eastAsia="en-US" w:bidi="ar-SA"/>
              </w:rPr>
              <w:t>Milieu intérieur - Rein</w:t>
            </w:r>
          </w:p>
        </w:tc>
        <w:tc>
          <w:tcPr>
            <w:tcW w:w="6764" w:type="dxa"/>
            <w:tcBorders/>
            <w:shd w:color="auto" w:fill="auto" w:val="clear"/>
          </w:tcPr>
          <w:p>
            <w:pPr>
              <w:pStyle w:val="Normal"/>
              <w:widowControl/>
              <w:spacing w:lineRule="auto" w:line="240" w:before="0" w:after="0"/>
              <w:jc w:val="left"/>
              <w:rPr>
                <w:rFonts w:ascii="Calibri" w:hAnsi="Calibri" w:eastAsia="Calibri" w:cs=""/>
                <w:kern w:val="0"/>
                <w:szCs w:val="22"/>
                <w:lang w:val="fr-FR" w:eastAsia="en-US" w:bidi="ar-SA"/>
              </w:rPr>
            </w:pPr>
            <w:r>
              <w:rPr>
                <w:rFonts w:eastAsia="Calibri" w:cs=""/>
                <w:b/>
                <w:bCs/>
                <w:kern w:val="0"/>
                <w:szCs w:val="22"/>
                <w:lang w:val="fr-FR" w:eastAsia="en-US" w:bidi="ar-SA"/>
              </w:rPr>
              <w:t>2 </w:t>
            </w:r>
            <w:r>
              <w:rPr>
                <w:rFonts w:eastAsia="Calibri" w:cs=""/>
                <w:kern w:val="0"/>
                <w:szCs w:val="22"/>
                <w:lang w:val="fr-FR" w:eastAsia="en-US" w:bidi="ar-SA"/>
              </w:rPr>
              <w:t>-</w:t>
            </w:r>
            <w:r>
              <w:rPr>
                <w:rFonts w:eastAsia="Calibri" w:cs=""/>
                <w:b/>
                <w:bCs/>
                <w:kern w:val="0"/>
                <w:szCs w:val="22"/>
                <w:lang w:val="fr-FR" w:eastAsia="en-US" w:bidi="ar-SA"/>
              </w:rPr>
              <w:t xml:space="preserve"> </w:t>
            </w:r>
            <w:r>
              <w:rPr>
                <w:rFonts w:eastAsia="Calibri" w:cs=""/>
                <w:kern w:val="0"/>
                <w:szCs w:val="22"/>
                <w:lang w:val="fr-FR" w:eastAsia="en-US" w:bidi="ar-SA"/>
              </w:rPr>
              <w:t xml:space="preserve">Sur quels principes sont fondés les analyses médicales ? </w:t>
            </w:r>
            <w:r>
              <w:rPr>
                <w:rFonts w:eastAsia="Calibri" w:cs=""/>
                <w:i/>
                <w:iCs/>
                <w:kern w:val="0"/>
                <w:szCs w:val="22"/>
                <w:lang w:val="fr-FR" w:eastAsia="en-US" w:bidi="ar-SA"/>
              </w:rPr>
              <w:t>Analyse biochimique</w:t>
            </w:r>
          </w:p>
        </w:tc>
      </w:tr>
      <w:tr>
        <w:trPr/>
        <w:tc>
          <w:tcPr>
            <w:tcW w:w="3011" w:type="dxa"/>
            <w:tcBorders/>
            <w:shd w:color="auto" w:fill="auto" w:val="clear"/>
          </w:tcPr>
          <w:p>
            <w:pPr>
              <w:pStyle w:val="Normal"/>
              <w:widowControl/>
              <w:spacing w:lineRule="auto" w:line="240" w:before="0" w:after="0"/>
              <w:jc w:val="left"/>
              <w:rPr>
                <w:rFonts w:ascii="Calibri" w:hAnsi="Calibri" w:eastAsia="Calibri" w:cs=""/>
                <w:kern w:val="0"/>
                <w:szCs w:val="22"/>
                <w:lang w:val="fr-FR" w:eastAsia="en-US" w:bidi="ar-SA"/>
              </w:rPr>
            </w:pPr>
            <w:r>
              <w:rPr>
                <w:rFonts w:eastAsia="Calibri" w:cs=""/>
                <w:kern w:val="0"/>
                <w:szCs w:val="22"/>
                <w:lang w:val="fr-FR" w:eastAsia="en-US" w:bidi="ar-SA"/>
              </w:rPr>
              <w:t>Anatomie rein (UIV)</w:t>
            </w:r>
          </w:p>
        </w:tc>
        <w:tc>
          <w:tcPr>
            <w:tcW w:w="6764" w:type="dxa"/>
            <w:tcBorders/>
            <w:shd w:color="auto" w:fill="auto" w:val="clear"/>
          </w:tcPr>
          <w:p>
            <w:pPr>
              <w:pStyle w:val="Normal"/>
              <w:widowControl/>
              <w:spacing w:lineRule="auto" w:line="240" w:before="0" w:after="0"/>
              <w:jc w:val="left"/>
              <w:rPr>
                <w:rFonts w:ascii="Calibri" w:hAnsi="Calibri" w:eastAsia="Calibri" w:cs=""/>
                <w:kern w:val="0"/>
                <w:szCs w:val="22"/>
                <w:lang w:val="fr-FR" w:eastAsia="en-US" w:bidi="ar-SA"/>
              </w:rPr>
            </w:pPr>
            <w:r>
              <w:rPr>
                <w:rFonts w:eastAsia="Calibri" w:cs=""/>
                <w:b/>
                <w:bCs/>
                <w:kern w:val="0"/>
                <w:szCs w:val="22"/>
                <w:lang w:val="fr-FR" w:eastAsia="en-US" w:bidi="ar-SA"/>
              </w:rPr>
              <w:t>2 </w:t>
            </w:r>
            <w:r>
              <w:rPr>
                <w:rFonts w:eastAsia="Calibri" w:cs=""/>
                <w:kern w:val="0"/>
                <w:szCs w:val="22"/>
                <w:lang w:val="fr-FR" w:eastAsia="en-US" w:bidi="ar-SA"/>
              </w:rPr>
              <w:t xml:space="preserve">- Comment l’interaction entre la matière et les rayons X contribue-t-elle au diagnostic médical ? </w:t>
            </w:r>
            <w:r>
              <w:rPr>
                <w:rFonts w:eastAsia="Calibri" w:cs=""/>
                <w:i/>
                <w:iCs/>
                <w:kern w:val="0"/>
                <w:szCs w:val="22"/>
                <w:lang w:val="fr-FR" w:eastAsia="en-US" w:bidi="ar-SA"/>
              </w:rPr>
              <w:t>Radiographie</w:t>
            </w:r>
          </w:p>
          <w:p>
            <w:pPr>
              <w:pStyle w:val="Normal"/>
              <w:widowControl/>
              <w:spacing w:lineRule="auto" w:line="240" w:before="0" w:after="0"/>
              <w:jc w:val="left"/>
              <w:rPr>
                <w:rFonts w:ascii="Calibri" w:hAnsi="Calibri" w:eastAsia="Calibri" w:cs=""/>
                <w:kern w:val="0"/>
                <w:szCs w:val="22"/>
                <w:lang w:val="fr-FR" w:eastAsia="en-US" w:bidi="ar-SA"/>
              </w:rPr>
            </w:pPr>
            <w:r>
              <w:rPr>
                <w:rFonts w:eastAsia="Calibri" w:cs=""/>
                <w:b/>
                <w:bCs/>
                <w:kern w:val="0"/>
                <w:szCs w:val="22"/>
                <w:lang w:val="fr-FR" w:eastAsia="en-US" w:bidi="ar-SA"/>
              </w:rPr>
              <w:t>2 </w:t>
            </w:r>
            <w:r>
              <w:rPr>
                <w:rFonts w:eastAsia="Calibri" w:cs=""/>
                <w:kern w:val="0"/>
                <w:szCs w:val="22"/>
                <w:lang w:val="fr-FR" w:eastAsia="en-US" w:bidi="ar-SA"/>
              </w:rPr>
              <w:t>- Comment les produits de contraste améliorent-ils la performance de l’imagerie médicale ?</w:t>
            </w:r>
          </w:p>
        </w:tc>
      </w:tr>
      <w:tr>
        <w:trPr/>
        <w:tc>
          <w:tcPr>
            <w:tcW w:w="3011" w:type="dxa"/>
            <w:tcBorders/>
            <w:shd w:color="auto" w:fill="auto" w:val="clear"/>
          </w:tcPr>
          <w:p>
            <w:pPr>
              <w:pStyle w:val="Normal"/>
              <w:widowControl/>
              <w:spacing w:lineRule="auto" w:line="240" w:before="0" w:after="0"/>
              <w:jc w:val="left"/>
              <w:rPr>
                <w:rFonts w:ascii="Calibri" w:hAnsi="Calibri" w:eastAsia="Calibri" w:cs=""/>
                <w:kern w:val="0"/>
                <w:szCs w:val="22"/>
                <w:lang w:val="fr-FR" w:eastAsia="en-US" w:bidi="ar-SA"/>
              </w:rPr>
            </w:pPr>
            <w:r>
              <w:rPr>
                <w:rFonts w:eastAsia="Calibri" w:cs=""/>
                <w:kern w:val="0"/>
                <w:szCs w:val="22"/>
                <w:lang w:val="fr-FR" w:eastAsia="en-US" w:bidi="ar-SA"/>
              </w:rPr>
              <w:t>Glycémie - diabètes</w:t>
            </w:r>
          </w:p>
        </w:tc>
        <w:tc>
          <w:tcPr>
            <w:tcW w:w="6764" w:type="dxa"/>
            <w:tcBorders/>
            <w:shd w:color="auto" w:fill="auto" w:val="clear"/>
          </w:tcPr>
          <w:p>
            <w:pPr>
              <w:pStyle w:val="Normal"/>
              <w:widowControl/>
              <w:spacing w:lineRule="auto" w:line="240" w:before="0" w:after="0"/>
              <w:jc w:val="left"/>
              <w:rPr>
                <w:rFonts w:ascii="Calibri" w:hAnsi="Calibri" w:eastAsia="Calibri" w:cs=""/>
                <w:kern w:val="0"/>
                <w:szCs w:val="22"/>
                <w:lang w:val="fr-FR" w:eastAsia="en-US" w:bidi="ar-SA"/>
              </w:rPr>
            </w:pPr>
            <w:r>
              <w:rPr>
                <w:rFonts w:eastAsia="Calibri" w:cs=""/>
                <w:b/>
                <w:bCs/>
                <w:kern w:val="0"/>
                <w:szCs w:val="22"/>
                <w:lang w:val="fr-FR" w:eastAsia="en-US" w:bidi="ar-SA"/>
              </w:rPr>
              <w:t>2 </w:t>
            </w:r>
            <w:r>
              <w:rPr>
                <w:rFonts w:eastAsia="Calibri" w:cs=""/>
                <w:kern w:val="0"/>
                <w:szCs w:val="22"/>
                <w:lang w:val="fr-FR" w:eastAsia="en-US" w:bidi="ar-SA"/>
              </w:rPr>
              <w:t>-</w:t>
            </w:r>
            <w:r>
              <w:rPr>
                <w:rFonts w:eastAsia="Calibri" w:cs=""/>
                <w:b/>
                <w:bCs/>
                <w:kern w:val="0"/>
                <w:szCs w:val="22"/>
                <w:lang w:val="fr-FR" w:eastAsia="en-US" w:bidi="ar-SA"/>
              </w:rPr>
              <w:t xml:space="preserve"> </w:t>
            </w:r>
            <w:r>
              <w:rPr>
                <w:rFonts w:eastAsia="Calibri" w:cs=""/>
                <w:kern w:val="0"/>
                <w:szCs w:val="22"/>
                <w:lang w:val="fr-FR" w:eastAsia="en-US" w:bidi="ar-SA"/>
              </w:rPr>
              <w:t xml:space="preserve">Sur quels principes sont fondés les analyses médicales ? </w:t>
            </w:r>
            <w:r>
              <w:rPr>
                <w:rFonts w:eastAsia="Calibri" w:cs=""/>
                <w:i/>
                <w:iCs/>
                <w:kern w:val="0"/>
                <w:szCs w:val="22"/>
                <w:lang w:val="fr-FR" w:eastAsia="en-US" w:bidi="ar-SA"/>
              </w:rPr>
              <w:t>Dosage spectrophotométrique du glucose</w:t>
            </w:r>
          </w:p>
        </w:tc>
      </w:tr>
      <w:tr>
        <w:trPr/>
        <w:tc>
          <w:tcPr>
            <w:tcW w:w="3011" w:type="dxa"/>
            <w:tcBorders>
              <w:top w:val="nil"/>
            </w:tcBorders>
            <w:shd w:color="auto" w:fill="auto" w:val="clear"/>
          </w:tcPr>
          <w:p>
            <w:pPr>
              <w:pStyle w:val="Normal"/>
              <w:widowControl/>
              <w:spacing w:lineRule="auto" w:line="240" w:before="0" w:after="0"/>
              <w:jc w:val="left"/>
              <w:rPr>
                <w:rFonts w:ascii="Calibri" w:hAnsi="Calibri" w:eastAsia="Calibri" w:cs=""/>
                <w:kern w:val="0"/>
                <w:szCs w:val="22"/>
                <w:lang w:val="fr-FR" w:eastAsia="en-US" w:bidi="ar-SA"/>
              </w:rPr>
            </w:pPr>
            <w:r>
              <w:rPr>
                <w:rFonts w:eastAsia="Calibri" w:cs=""/>
                <w:kern w:val="0"/>
                <w:szCs w:val="22"/>
                <w:lang w:val="fr-FR" w:eastAsia="en-US" w:bidi="ar-SA"/>
              </w:rPr>
              <w:t>Exemple de perturbation du milieu intérieur par les xénobiotiques</w:t>
            </w:r>
          </w:p>
        </w:tc>
        <w:tc>
          <w:tcPr>
            <w:tcW w:w="6764" w:type="dxa"/>
            <w:tcBorders>
              <w:top w:val="nil"/>
            </w:tcBorders>
            <w:shd w:color="auto" w:fill="auto" w:val="clear"/>
          </w:tcPr>
          <w:p>
            <w:pPr>
              <w:pStyle w:val="Normal"/>
              <w:widowControl/>
              <w:spacing w:lineRule="auto" w:line="240" w:before="0" w:after="0"/>
              <w:jc w:val="left"/>
              <w:rPr>
                <w:rFonts w:ascii="Calibri" w:hAnsi="Calibri" w:eastAsia="Calibri" w:cs=""/>
                <w:kern w:val="0"/>
                <w:szCs w:val="22"/>
                <w:lang w:val="fr-FR" w:eastAsia="en-US" w:bidi="ar-SA"/>
              </w:rPr>
            </w:pPr>
            <w:r>
              <w:rPr>
                <w:rFonts w:eastAsia="Calibri" w:cs=""/>
                <w:b/>
                <w:bCs/>
                <w:kern w:val="0"/>
                <w:szCs w:val="22"/>
                <w:lang w:val="fr-FR" w:eastAsia="en-US" w:bidi="ar-SA"/>
              </w:rPr>
              <w:t>2 </w:t>
            </w:r>
            <w:r>
              <w:rPr>
                <w:rFonts w:eastAsia="Calibri" w:cs=""/>
                <w:kern w:val="0"/>
                <w:szCs w:val="22"/>
                <w:lang w:val="fr-FR" w:eastAsia="en-US" w:bidi="ar-SA"/>
              </w:rPr>
              <w:t xml:space="preserve">- Quels enjeux sanitaires sont révélés par l’analyse de la composition des milieux naturels ? </w:t>
            </w:r>
            <w:r>
              <w:rPr>
                <w:rFonts w:eastAsia="Calibri" w:cs=""/>
                <w:i/>
                <w:iCs/>
                <w:kern w:val="0"/>
                <w:szCs w:val="22"/>
                <w:lang w:val="fr-FR" w:eastAsia="en-US" w:bidi="ar-SA"/>
              </w:rPr>
              <w:t>Effet d’un polluant chimique sur la santé.</w:t>
            </w:r>
          </w:p>
          <w:p>
            <w:pPr>
              <w:pStyle w:val="Normal"/>
              <w:widowControl/>
              <w:spacing w:lineRule="auto" w:line="240" w:before="0" w:after="0"/>
              <w:jc w:val="left"/>
              <w:rPr>
                <w:rFonts w:ascii="Calibri" w:hAnsi="Calibri" w:eastAsia="Calibri" w:cs=""/>
                <w:kern w:val="0"/>
                <w:szCs w:val="22"/>
                <w:lang w:val="fr-FR" w:eastAsia="en-US" w:bidi="ar-SA"/>
              </w:rPr>
            </w:pPr>
            <w:r>
              <w:rPr>
                <w:rFonts w:eastAsia="Calibri" w:cs=""/>
                <w:b/>
                <w:bCs/>
                <w:kern w:val="0"/>
                <w:szCs w:val="22"/>
                <w:lang w:val="fr-FR" w:eastAsia="en-US" w:bidi="ar-SA"/>
              </w:rPr>
              <w:t>3 </w:t>
            </w:r>
            <w:r>
              <w:rPr>
                <w:rFonts w:eastAsia="Calibri" w:cs=""/>
                <w:kern w:val="0"/>
                <w:szCs w:val="22"/>
                <w:lang w:val="fr-FR" w:eastAsia="en-US" w:bidi="ar-SA"/>
              </w:rPr>
              <w:t>- Comment l’histoire du médicament s’appuie-t-elle sur la structure moléculaire ?</w:t>
            </w:r>
          </w:p>
          <w:p>
            <w:pPr>
              <w:pStyle w:val="Normal"/>
              <w:widowControl/>
              <w:spacing w:lineRule="auto" w:line="240" w:before="0" w:after="0"/>
              <w:jc w:val="left"/>
              <w:rPr>
                <w:rFonts w:ascii="Calibri" w:hAnsi="Calibri" w:eastAsia="Calibri" w:cs=""/>
                <w:kern w:val="0"/>
                <w:szCs w:val="22"/>
                <w:lang w:val="fr-FR" w:eastAsia="en-US" w:bidi="ar-SA"/>
              </w:rPr>
            </w:pPr>
            <w:r>
              <w:rPr>
                <w:rFonts w:eastAsia="Calibri" w:cs=""/>
                <w:kern w:val="0"/>
                <w:szCs w:val="22"/>
                <w:lang w:val="fr-FR" w:eastAsia="en-US" w:bidi="ar-SA"/>
              </w:rPr>
              <w:t>- Comment s’oriente la recherche pour de nouveaux médicaments du futur ?</w:t>
            </w:r>
          </w:p>
        </w:tc>
      </w:tr>
    </w:tbl>
    <w:p>
      <w:pPr>
        <w:pStyle w:val="Normal"/>
        <w:rPr/>
      </w:pPr>
      <w:r>
        <w:rPr/>
      </w:r>
    </w:p>
    <w:p>
      <w:pPr>
        <w:pStyle w:val="Normal"/>
        <w:rPr/>
      </w:pPr>
      <w:r>
        <w:rPr/>
      </w:r>
    </w:p>
    <w:p>
      <w:pPr>
        <w:pStyle w:val="ListParagraph"/>
        <w:ind w:left="644" w:hanging="0"/>
        <w:rPr>
          <w:b/>
          <w:b/>
          <w:bCs/>
        </w:rPr>
      </w:pPr>
      <w:r>
        <w:rPr>
          <w:b/>
          <w:bCs/>
        </w:rPr>
        <w:t>Gènes et transmission de l’information génétique</w:t>
      </w:r>
    </w:p>
    <w:tbl>
      <w:tblPr>
        <w:tblStyle w:val="Grilledutableau"/>
        <w:tblW w:w="9780"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3171"/>
        <w:gridCol w:w="6608"/>
      </w:tblGrid>
      <w:tr>
        <w:trPr/>
        <w:tc>
          <w:tcPr>
            <w:tcW w:w="3171" w:type="dxa"/>
            <w:tcBorders/>
            <w:shd w:color="auto" w:fill="auto" w:val="clear"/>
          </w:tcPr>
          <w:p>
            <w:pPr>
              <w:pStyle w:val="Normal"/>
              <w:widowControl/>
              <w:spacing w:lineRule="auto" w:line="240" w:before="0" w:after="0"/>
              <w:jc w:val="center"/>
              <w:rPr>
                <w:b/>
                <w:b/>
                <w:bCs/>
              </w:rPr>
            </w:pPr>
            <w:r>
              <w:rPr>
                <w:rFonts w:eastAsia="Calibri" w:cs=""/>
                <w:b/>
                <w:bCs/>
                <w:kern w:val="0"/>
                <w:szCs w:val="22"/>
                <w:lang w:val="fr-FR" w:eastAsia="en-US" w:bidi="ar-SA"/>
              </w:rPr>
              <w:t>Biologie</w:t>
            </w:r>
          </w:p>
        </w:tc>
        <w:tc>
          <w:tcPr>
            <w:tcW w:w="6608" w:type="dxa"/>
            <w:tcBorders/>
            <w:shd w:color="auto" w:fill="auto" w:val="clear"/>
          </w:tcPr>
          <w:p>
            <w:pPr>
              <w:pStyle w:val="Normal"/>
              <w:widowControl/>
              <w:spacing w:lineRule="auto" w:line="240" w:before="0" w:after="0"/>
              <w:jc w:val="center"/>
              <w:rPr>
                <w:rFonts w:ascii="Calibri" w:hAnsi="Calibri" w:eastAsia="Calibri" w:cs=""/>
                <w:kern w:val="0"/>
                <w:szCs w:val="22"/>
                <w:lang w:val="fr-FR" w:eastAsia="en-US" w:bidi="ar-SA"/>
              </w:rPr>
            </w:pPr>
            <w:r>
              <w:rPr>
                <w:rFonts w:eastAsia="Calibri" w:cs=""/>
                <w:b/>
                <w:bCs/>
                <w:kern w:val="0"/>
                <w:szCs w:val="22"/>
                <w:lang w:val="fr-FR" w:eastAsia="en-US" w:bidi="ar-SA"/>
              </w:rPr>
              <w:t>Chimie – Thèmes 2 et 3</w:t>
            </w:r>
          </w:p>
        </w:tc>
      </w:tr>
      <w:tr>
        <w:trPr/>
        <w:tc>
          <w:tcPr>
            <w:tcW w:w="3171" w:type="dxa"/>
            <w:tcBorders/>
            <w:shd w:color="auto" w:fill="auto" w:val="clear"/>
          </w:tcPr>
          <w:p>
            <w:pPr>
              <w:pStyle w:val="Normal"/>
              <w:widowControl/>
              <w:spacing w:lineRule="auto" w:line="240" w:before="0" w:after="0"/>
              <w:jc w:val="left"/>
              <w:rPr>
                <w:rFonts w:ascii="Calibri" w:hAnsi="Calibri" w:eastAsia="Calibri" w:cs=""/>
                <w:kern w:val="0"/>
                <w:szCs w:val="22"/>
                <w:lang w:val="fr-FR" w:eastAsia="en-US" w:bidi="ar-SA"/>
              </w:rPr>
            </w:pPr>
            <w:r>
              <w:rPr>
                <w:rFonts w:eastAsia="Calibri" w:cs=""/>
                <w:kern w:val="0"/>
                <w:szCs w:val="22"/>
                <w:lang w:val="fr-FR" w:eastAsia="en-US" w:bidi="ar-SA"/>
              </w:rPr>
              <w:t>Du gène à la protéine</w:t>
            </w:r>
          </w:p>
        </w:tc>
        <w:tc>
          <w:tcPr>
            <w:tcW w:w="6608" w:type="dxa"/>
            <w:tcBorders/>
            <w:shd w:color="auto" w:fill="auto" w:val="clear"/>
          </w:tcPr>
          <w:p>
            <w:pPr>
              <w:pStyle w:val="Normal"/>
              <w:widowControl/>
              <w:spacing w:lineRule="auto" w:line="240" w:before="0" w:after="0"/>
              <w:jc w:val="left"/>
              <w:rPr>
                <w:rFonts w:ascii="Calibri" w:hAnsi="Calibri" w:eastAsia="Calibri" w:cs=""/>
                <w:kern w:val="0"/>
                <w:szCs w:val="22"/>
                <w:lang w:val="fr-FR" w:eastAsia="en-US" w:bidi="ar-SA"/>
              </w:rPr>
            </w:pPr>
            <w:r>
              <w:rPr>
                <w:rFonts w:eastAsia="Calibri" w:cs=""/>
                <w:b/>
                <w:bCs/>
                <w:color w:val="000000"/>
                <w:kern w:val="0"/>
                <w:szCs w:val="22"/>
                <w:lang w:val="fr-FR" w:eastAsia="en-US" w:bidi="ar-SA"/>
              </w:rPr>
              <w:t xml:space="preserve">3 </w:t>
            </w:r>
            <w:r>
              <w:rPr>
                <w:rFonts w:eastAsia="Calibri" w:cs=""/>
                <w:kern w:val="0"/>
                <w:szCs w:val="22"/>
                <w:lang w:val="fr-FR" w:eastAsia="en-US" w:bidi="ar-SA"/>
              </w:rPr>
              <w:t xml:space="preserve">- Comment la structure chimique des protéines détermine-t-elle leur action ? </w:t>
            </w:r>
          </w:p>
        </w:tc>
      </w:tr>
      <w:tr>
        <w:trPr/>
        <w:tc>
          <w:tcPr>
            <w:tcW w:w="3171" w:type="dxa"/>
            <w:tcBorders/>
            <w:shd w:color="auto" w:fill="auto" w:val="clear"/>
          </w:tcPr>
          <w:p>
            <w:pPr>
              <w:pStyle w:val="Normal"/>
              <w:widowControl/>
              <w:spacing w:lineRule="auto" w:line="240" w:before="0" w:after="0"/>
              <w:jc w:val="left"/>
              <w:rPr>
                <w:rFonts w:ascii="Calibri" w:hAnsi="Calibri" w:eastAsia="Calibri" w:cs=""/>
                <w:kern w:val="0"/>
                <w:szCs w:val="22"/>
                <w:lang w:val="fr-FR" w:eastAsia="en-US" w:bidi="ar-SA"/>
              </w:rPr>
            </w:pPr>
            <w:r>
              <w:rPr>
                <w:rFonts w:eastAsia="Calibri" w:cs=""/>
                <w:kern w:val="0"/>
                <w:szCs w:val="22"/>
                <w:lang w:val="fr-FR" w:eastAsia="en-US" w:bidi="ar-SA"/>
              </w:rPr>
              <w:t>Mutation ponctuelle</w:t>
            </w:r>
          </w:p>
        </w:tc>
        <w:tc>
          <w:tcPr>
            <w:tcW w:w="6608" w:type="dxa"/>
            <w:tcBorders/>
            <w:shd w:color="auto" w:fill="auto" w:val="clear"/>
          </w:tcPr>
          <w:p>
            <w:pPr>
              <w:pStyle w:val="Normal"/>
              <w:widowControl/>
              <w:spacing w:lineRule="auto" w:line="240" w:before="0" w:after="0"/>
              <w:jc w:val="left"/>
              <w:rPr>
                <w:rFonts w:ascii="Calibri" w:hAnsi="Calibri" w:eastAsia="Calibri" w:cs=""/>
                <w:kern w:val="0"/>
                <w:szCs w:val="22"/>
                <w:lang w:val="fr-FR" w:eastAsia="en-US" w:bidi="ar-SA"/>
              </w:rPr>
            </w:pPr>
            <w:r>
              <w:rPr>
                <w:rFonts w:eastAsia="Calibri" w:cs=""/>
                <w:b/>
                <w:bCs/>
                <w:kern w:val="0"/>
                <w:szCs w:val="22"/>
                <w:lang w:val="fr-FR" w:eastAsia="en-US" w:bidi="ar-SA"/>
              </w:rPr>
              <w:t>3-</w:t>
            </w:r>
            <w:r>
              <w:rPr>
                <w:rFonts w:eastAsia="Calibri" w:cs=""/>
                <w:kern w:val="0"/>
                <w:szCs w:val="22"/>
                <w:lang w:val="fr-FR" w:eastAsia="en-US" w:bidi="ar-SA"/>
              </w:rPr>
              <w:t xml:space="preserve"> Comment l’action d’un antioxydant peut-elle contribuer à la protection solaire ?</w:t>
            </w:r>
            <w:r>
              <w:rPr>
                <w:rFonts w:eastAsia="Calibri" w:cs=""/>
                <w:i/>
                <w:iCs/>
                <w:kern w:val="0"/>
                <w:szCs w:val="22"/>
                <w:lang w:val="fr-FR" w:eastAsia="en-US" w:bidi="ar-SA"/>
              </w:rPr>
              <w:t xml:space="preserve">  Action des UV sur la peau</w:t>
            </w:r>
          </w:p>
        </w:tc>
      </w:tr>
      <w:tr>
        <w:trPr/>
        <w:tc>
          <w:tcPr>
            <w:tcW w:w="3171" w:type="dxa"/>
            <w:tcBorders>
              <w:top w:val="nil"/>
            </w:tcBorders>
            <w:shd w:color="auto" w:fill="auto" w:val="clear"/>
          </w:tcPr>
          <w:p>
            <w:pPr>
              <w:pStyle w:val="Normal"/>
              <w:widowControl/>
              <w:spacing w:lineRule="auto" w:line="240" w:before="0" w:after="0"/>
              <w:jc w:val="left"/>
              <w:rPr>
                <w:rFonts w:ascii="Calibri" w:hAnsi="Calibri" w:eastAsia="Calibri" w:cs=""/>
                <w:kern w:val="0"/>
                <w:szCs w:val="22"/>
                <w:lang w:val="fr-FR" w:eastAsia="en-US" w:bidi="ar-SA"/>
              </w:rPr>
            </w:pPr>
            <w:r>
              <w:rPr>
                <w:rFonts w:eastAsia="Calibri" w:cs=""/>
                <w:kern w:val="0"/>
                <w:szCs w:val="22"/>
                <w:lang w:val="fr-FR" w:eastAsia="en-US" w:bidi="ar-SA"/>
              </w:rPr>
              <w:t>Cancer, une conséquence des mutations génétiques</w:t>
            </w:r>
          </w:p>
        </w:tc>
        <w:tc>
          <w:tcPr>
            <w:tcW w:w="6608" w:type="dxa"/>
            <w:tcBorders>
              <w:top w:val="nil"/>
            </w:tcBorders>
            <w:shd w:color="auto" w:fill="auto" w:val="clear"/>
          </w:tcPr>
          <w:p>
            <w:pPr>
              <w:pStyle w:val="Normal"/>
              <w:widowControl/>
              <w:spacing w:lineRule="auto" w:line="240" w:before="0" w:after="0"/>
              <w:jc w:val="left"/>
              <w:rPr>
                <w:rFonts w:ascii="Calibri" w:hAnsi="Calibri" w:eastAsia="Calibri" w:cs=""/>
                <w:kern w:val="0"/>
                <w:szCs w:val="22"/>
                <w:lang w:val="fr-FR" w:eastAsia="en-US" w:bidi="ar-SA"/>
              </w:rPr>
            </w:pPr>
            <w:r>
              <w:rPr>
                <w:rFonts w:eastAsia="Calibri" w:cs=""/>
                <w:b/>
                <w:bCs/>
                <w:kern w:val="0"/>
                <w:szCs w:val="22"/>
                <w:lang w:val="fr-FR" w:eastAsia="en-US" w:bidi="ar-SA"/>
              </w:rPr>
              <w:t>2</w:t>
            </w:r>
            <w:r>
              <w:rPr>
                <w:rFonts w:eastAsia="Calibri" w:cs=""/>
                <w:kern w:val="0"/>
                <w:szCs w:val="22"/>
                <w:lang w:val="fr-FR" w:eastAsia="en-US" w:bidi="ar-SA"/>
              </w:rPr>
              <w:t xml:space="preserve"> – Comment les marqueurs radioactifs sont-ils utilisés en imagerie médicale ?</w:t>
            </w:r>
          </w:p>
        </w:tc>
      </w:tr>
    </w:tbl>
    <w:p>
      <w:pPr>
        <w:pStyle w:val="Normal"/>
        <w:rPr>
          <w:b/>
          <w:b/>
          <w:bCs/>
        </w:rPr>
      </w:pPr>
      <w:r>
        <w:rPr>
          <w:b/>
          <w:bCs/>
        </w:rPr>
      </w:r>
    </w:p>
    <w:p>
      <w:pPr>
        <w:pStyle w:val="ListParagraph"/>
        <w:ind w:left="644" w:hanging="0"/>
        <w:rPr>
          <w:b/>
          <w:b/>
          <w:bCs/>
        </w:rPr>
      </w:pPr>
      <w:r>
        <w:rPr>
          <w:b/>
          <w:bCs/>
        </w:rPr>
        <w:t>Appareil reproducteur</w:t>
      </w:r>
    </w:p>
    <w:tbl>
      <w:tblPr>
        <w:tblStyle w:val="Grilledutableau"/>
        <w:tblW w:w="9776"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3011"/>
        <w:gridCol w:w="6764"/>
      </w:tblGrid>
      <w:tr>
        <w:trPr/>
        <w:tc>
          <w:tcPr>
            <w:tcW w:w="3011" w:type="dxa"/>
            <w:tcBorders/>
            <w:shd w:color="auto" w:fill="auto" w:val="clear"/>
          </w:tcPr>
          <w:p>
            <w:pPr>
              <w:pStyle w:val="Normal"/>
              <w:widowControl/>
              <w:spacing w:lineRule="auto" w:line="240" w:before="0" w:after="0"/>
              <w:jc w:val="center"/>
              <w:rPr>
                <w:b/>
                <w:b/>
                <w:bCs/>
              </w:rPr>
            </w:pPr>
            <w:r>
              <w:rPr>
                <w:rFonts w:eastAsia="Calibri" w:cs=""/>
                <w:b/>
                <w:bCs/>
                <w:kern w:val="0"/>
                <w:szCs w:val="22"/>
                <w:lang w:val="fr-FR" w:eastAsia="en-US" w:bidi="ar-SA"/>
              </w:rPr>
              <w:t>Biologie</w:t>
            </w:r>
          </w:p>
        </w:tc>
        <w:tc>
          <w:tcPr>
            <w:tcW w:w="6764" w:type="dxa"/>
            <w:tcBorders/>
            <w:shd w:color="auto" w:fill="auto" w:val="clear"/>
          </w:tcPr>
          <w:p>
            <w:pPr>
              <w:pStyle w:val="Normal"/>
              <w:widowControl/>
              <w:spacing w:lineRule="auto" w:line="240" w:before="0" w:after="0"/>
              <w:jc w:val="center"/>
              <w:rPr>
                <w:rFonts w:ascii="Calibri" w:hAnsi="Calibri" w:eastAsia="Calibri" w:cs=""/>
                <w:kern w:val="0"/>
                <w:szCs w:val="22"/>
                <w:lang w:val="fr-FR" w:eastAsia="en-US" w:bidi="ar-SA"/>
              </w:rPr>
            </w:pPr>
            <w:r>
              <w:rPr>
                <w:rFonts w:eastAsia="Calibri" w:cs=""/>
                <w:b/>
                <w:bCs/>
                <w:kern w:val="0"/>
                <w:szCs w:val="22"/>
                <w:lang w:val="fr-FR" w:eastAsia="en-US" w:bidi="ar-SA"/>
              </w:rPr>
              <w:t xml:space="preserve">Chimie - </w:t>
            </w:r>
            <w:bookmarkStart w:id="0" w:name="__DdeLink__1148_805881361"/>
            <w:r>
              <w:rPr>
                <w:rFonts w:eastAsia="Calibri" w:cs=""/>
                <w:b/>
                <w:bCs/>
                <w:kern w:val="0"/>
                <w:szCs w:val="22"/>
                <w:lang w:val="fr-FR" w:eastAsia="en-US" w:bidi="ar-SA"/>
              </w:rPr>
              <w:t>Thèmes 2 et 3</w:t>
            </w:r>
            <w:bookmarkEnd w:id="0"/>
          </w:p>
        </w:tc>
      </w:tr>
      <w:tr>
        <w:trPr/>
        <w:tc>
          <w:tcPr>
            <w:tcW w:w="3011" w:type="dxa"/>
            <w:tcBorders/>
            <w:shd w:color="auto" w:fill="auto" w:val="clear"/>
          </w:tcPr>
          <w:p>
            <w:pPr>
              <w:pStyle w:val="Normal"/>
              <w:widowControl/>
              <w:spacing w:lineRule="auto" w:line="240" w:before="0" w:after="0"/>
              <w:jc w:val="left"/>
              <w:rPr>
                <w:rFonts w:ascii="Calibri" w:hAnsi="Calibri" w:eastAsia="Calibri" w:cs=""/>
                <w:kern w:val="0"/>
                <w:szCs w:val="22"/>
                <w:lang w:val="fr-FR" w:eastAsia="en-US" w:bidi="ar-SA"/>
              </w:rPr>
            </w:pPr>
            <w:r>
              <w:rPr>
                <w:rFonts w:eastAsia="Calibri" w:cs=""/>
                <w:kern w:val="0"/>
                <w:szCs w:val="22"/>
                <w:lang w:val="fr-FR" w:eastAsia="en-US" w:bidi="ar-SA"/>
              </w:rPr>
              <w:t>Hormones sexuelles</w:t>
            </w:r>
          </w:p>
        </w:tc>
        <w:tc>
          <w:tcPr>
            <w:tcW w:w="6764" w:type="dxa"/>
            <w:tcBorders/>
            <w:shd w:color="auto" w:fill="auto" w:val="clear"/>
          </w:tcPr>
          <w:p>
            <w:pPr>
              <w:pStyle w:val="Normal"/>
              <w:widowControl/>
              <w:spacing w:lineRule="auto" w:line="240" w:before="0" w:after="0"/>
              <w:jc w:val="left"/>
              <w:rPr>
                <w:rFonts w:ascii="Calibri" w:hAnsi="Calibri" w:eastAsia="Calibri" w:cs=""/>
                <w:kern w:val="0"/>
                <w:szCs w:val="22"/>
                <w:lang w:val="fr-FR" w:eastAsia="en-US" w:bidi="ar-SA"/>
              </w:rPr>
            </w:pPr>
            <w:r>
              <w:rPr>
                <w:rFonts w:eastAsia="Calibri" w:cs=""/>
                <w:b/>
                <w:bCs/>
                <w:kern w:val="0"/>
                <w:szCs w:val="22"/>
                <w:lang w:val="fr-FR" w:eastAsia="en-US" w:bidi="ar-SA"/>
              </w:rPr>
              <w:t>3</w:t>
            </w:r>
            <w:r>
              <w:rPr>
                <w:rFonts w:eastAsia="Calibri" w:cs=""/>
                <w:kern w:val="0"/>
                <w:szCs w:val="22"/>
                <w:lang w:val="fr-FR" w:eastAsia="en-US" w:bidi="ar-SA"/>
              </w:rPr>
              <w:t xml:space="preserve"> - Comment la structure des lipides influe-t-elle sur la santé ?</w:t>
            </w:r>
          </w:p>
        </w:tc>
      </w:tr>
      <w:tr>
        <w:trPr/>
        <w:tc>
          <w:tcPr>
            <w:tcW w:w="3011" w:type="dxa"/>
            <w:tcBorders/>
            <w:shd w:color="auto" w:fill="auto" w:val="clear"/>
          </w:tcPr>
          <w:p>
            <w:pPr>
              <w:pStyle w:val="Normal"/>
              <w:widowControl/>
              <w:spacing w:lineRule="auto" w:line="240" w:before="0" w:after="0"/>
              <w:jc w:val="left"/>
              <w:rPr>
                <w:rFonts w:ascii="Calibri" w:hAnsi="Calibri" w:eastAsia="Calibri" w:cs=""/>
                <w:kern w:val="0"/>
                <w:szCs w:val="22"/>
                <w:lang w:val="fr-FR" w:eastAsia="en-US" w:bidi="ar-SA"/>
              </w:rPr>
            </w:pPr>
            <w:r>
              <w:rPr>
                <w:rFonts w:eastAsia="Calibri" w:cs=""/>
                <w:kern w:val="0"/>
                <w:szCs w:val="22"/>
                <w:lang w:val="fr-FR" w:eastAsia="en-US" w:bidi="ar-SA"/>
              </w:rPr>
              <w:t>Suivi de grossesse : échographie – Doppler utérin</w:t>
            </w:r>
          </w:p>
        </w:tc>
        <w:tc>
          <w:tcPr>
            <w:tcW w:w="6764" w:type="dxa"/>
            <w:tcBorders/>
            <w:shd w:color="auto" w:fill="auto" w:val="clear"/>
          </w:tcPr>
          <w:p>
            <w:pPr>
              <w:pStyle w:val="Normal"/>
              <w:widowControl/>
              <w:spacing w:lineRule="auto" w:line="240" w:before="0" w:after="0"/>
              <w:jc w:val="left"/>
              <w:rPr>
                <w:rFonts w:ascii="Calibri" w:hAnsi="Calibri" w:eastAsia="Calibri" w:cs=""/>
                <w:kern w:val="0"/>
                <w:szCs w:val="22"/>
                <w:lang w:val="fr-FR" w:eastAsia="en-US" w:bidi="ar-SA"/>
              </w:rPr>
            </w:pPr>
            <w:r>
              <w:rPr>
                <w:rFonts w:eastAsia="Calibri" w:cs=""/>
                <w:b/>
                <w:bCs/>
                <w:kern w:val="0"/>
                <w:szCs w:val="22"/>
                <w:lang w:val="fr-FR" w:eastAsia="en-US" w:bidi="ar-SA"/>
              </w:rPr>
              <w:t xml:space="preserve">2 </w:t>
            </w:r>
            <w:r>
              <w:rPr>
                <w:rFonts w:eastAsia="Calibri" w:cs=""/>
                <w:kern w:val="0"/>
                <w:szCs w:val="22"/>
                <w:lang w:val="fr-FR" w:eastAsia="en-US" w:bidi="ar-SA"/>
              </w:rPr>
              <w:t xml:space="preserve">- Comment un écoulement sanguin est-il analysé ? </w:t>
            </w:r>
            <w:r>
              <w:rPr>
                <w:rFonts w:eastAsia="Calibri" w:cs=""/>
                <w:i/>
                <w:iCs/>
                <w:kern w:val="0"/>
                <w:szCs w:val="22"/>
                <w:lang w:val="fr-FR" w:eastAsia="en-US" w:bidi="ar-SA"/>
              </w:rPr>
              <w:t>L’échographie Doppler</w:t>
            </w:r>
          </w:p>
        </w:tc>
      </w:tr>
    </w:tbl>
    <w:p>
      <w:pPr>
        <w:pStyle w:val="Normal"/>
        <w:rPr/>
      </w:pPr>
      <w:r>
        <w:rPr/>
      </w:r>
    </w:p>
    <w:p>
      <w:pPr>
        <w:pStyle w:val="ListParagraph"/>
        <w:ind w:left="644" w:hanging="0"/>
        <w:rPr>
          <w:b/>
          <w:b/>
          <w:bCs/>
        </w:rPr>
      </w:pPr>
      <w:r>
        <w:rPr>
          <w:b/>
          <w:bCs/>
        </w:rPr>
        <w:t>Système immunitaire et défense de l’organisme</w:t>
      </w:r>
    </w:p>
    <w:tbl>
      <w:tblPr>
        <w:tblStyle w:val="Grilledutableau"/>
        <w:tblW w:w="9776"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3011"/>
        <w:gridCol w:w="6764"/>
      </w:tblGrid>
      <w:tr>
        <w:trPr/>
        <w:tc>
          <w:tcPr>
            <w:tcW w:w="3011" w:type="dxa"/>
            <w:tcBorders/>
            <w:shd w:color="auto" w:fill="auto" w:val="clear"/>
          </w:tcPr>
          <w:p>
            <w:pPr>
              <w:pStyle w:val="Normal"/>
              <w:widowControl/>
              <w:spacing w:lineRule="auto" w:line="240" w:before="0" w:after="0"/>
              <w:jc w:val="center"/>
              <w:rPr>
                <w:b/>
                <w:b/>
                <w:bCs/>
              </w:rPr>
            </w:pPr>
            <w:r>
              <w:rPr>
                <w:rFonts w:eastAsia="Calibri" w:cs=""/>
                <w:b/>
                <w:bCs/>
                <w:kern w:val="0"/>
                <w:szCs w:val="22"/>
                <w:lang w:val="fr-FR" w:eastAsia="en-US" w:bidi="ar-SA"/>
              </w:rPr>
              <w:t>Biologie</w:t>
            </w:r>
          </w:p>
        </w:tc>
        <w:tc>
          <w:tcPr>
            <w:tcW w:w="6764" w:type="dxa"/>
            <w:tcBorders/>
            <w:shd w:color="auto" w:fill="auto" w:val="clear"/>
          </w:tcPr>
          <w:p>
            <w:pPr>
              <w:pStyle w:val="Normal"/>
              <w:widowControl/>
              <w:spacing w:lineRule="auto" w:line="240" w:before="0" w:after="0"/>
              <w:jc w:val="center"/>
              <w:rPr>
                <w:rFonts w:ascii="Calibri" w:hAnsi="Calibri" w:eastAsia="Calibri" w:cs=""/>
                <w:kern w:val="0"/>
                <w:szCs w:val="22"/>
                <w:lang w:val="fr-FR" w:eastAsia="en-US" w:bidi="ar-SA"/>
              </w:rPr>
            </w:pPr>
            <w:r>
              <w:rPr>
                <w:rFonts w:eastAsia="Calibri" w:cs=""/>
                <w:b/>
                <w:bCs/>
                <w:kern w:val="0"/>
                <w:szCs w:val="22"/>
                <w:lang w:val="fr-FR" w:eastAsia="en-US" w:bidi="ar-SA"/>
              </w:rPr>
              <w:t>Chimie - Thèmes 2 et 3</w:t>
            </w:r>
          </w:p>
        </w:tc>
      </w:tr>
      <w:tr>
        <w:trPr/>
        <w:tc>
          <w:tcPr>
            <w:tcW w:w="3011" w:type="dxa"/>
            <w:tcBorders/>
            <w:shd w:color="auto" w:fill="auto" w:val="clear"/>
          </w:tcPr>
          <w:p>
            <w:pPr>
              <w:pStyle w:val="Normal"/>
              <w:widowControl/>
              <w:spacing w:lineRule="auto" w:line="240" w:before="0" w:after="0"/>
              <w:jc w:val="left"/>
              <w:rPr>
                <w:rFonts w:ascii="Calibri" w:hAnsi="Calibri" w:eastAsia="Calibri" w:cs=""/>
                <w:kern w:val="0"/>
                <w:szCs w:val="22"/>
                <w:lang w:val="fr-FR" w:eastAsia="en-US" w:bidi="ar-SA"/>
              </w:rPr>
            </w:pPr>
            <w:r>
              <w:rPr>
                <w:rFonts w:eastAsia="Calibri" w:cs=""/>
                <w:kern w:val="0"/>
                <w:szCs w:val="22"/>
                <w:lang w:val="fr-FR" w:eastAsia="en-US" w:bidi="ar-SA"/>
              </w:rPr>
              <w:t>Rôle des anticorps</w:t>
            </w:r>
          </w:p>
        </w:tc>
        <w:tc>
          <w:tcPr>
            <w:tcW w:w="6764" w:type="dxa"/>
            <w:tcBorders/>
            <w:shd w:color="auto" w:fill="auto" w:val="clear"/>
          </w:tcPr>
          <w:p>
            <w:pPr>
              <w:pStyle w:val="Normal"/>
              <w:widowControl/>
              <w:spacing w:lineRule="auto" w:line="240" w:before="0" w:after="0"/>
              <w:jc w:val="left"/>
              <w:rPr>
                <w:rFonts w:ascii="Calibri" w:hAnsi="Calibri" w:eastAsia="Calibri" w:cs=""/>
                <w:kern w:val="0"/>
                <w:szCs w:val="22"/>
                <w:lang w:val="fr-FR" w:eastAsia="en-US" w:bidi="ar-SA"/>
              </w:rPr>
            </w:pPr>
            <w:r>
              <w:rPr>
                <w:rFonts w:eastAsia="Calibri" w:cs=""/>
                <w:b/>
                <w:bCs/>
                <w:kern w:val="0"/>
                <w:szCs w:val="22"/>
                <w:lang w:val="fr-FR" w:eastAsia="en-US" w:bidi="ar-SA"/>
              </w:rPr>
              <w:t>3</w:t>
            </w:r>
            <w:r>
              <w:rPr>
                <w:rFonts w:eastAsia="Calibri" w:cs=""/>
                <w:kern w:val="0"/>
                <w:szCs w:val="22"/>
                <w:lang w:val="fr-FR" w:eastAsia="en-US" w:bidi="ar-SA"/>
              </w:rPr>
              <w:t xml:space="preserve"> - Comment la structure chimique des protéines détermine-t-elle leur action ?</w:t>
            </w:r>
          </w:p>
        </w:tc>
      </w:tr>
      <w:tr>
        <w:trPr/>
        <w:tc>
          <w:tcPr>
            <w:tcW w:w="3011" w:type="dxa"/>
            <w:tcBorders/>
            <w:shd w:color="auto" w:fill="auto" w:val="clear"/>
          </w:tcPr>
          <w:p>
            <w:pPr>
              <w:pStyle w:val="Normal"/>
              <w:widowControl/>
              <w:spacing w:lineRule="auto" w:line="240" w:before="0" w:after="0"/>
              <w:jc w:val="left"/>
              <w:rPr>
                <w:rFonts w:ascii="Calibri" w:hAnsi="Calibri" w:eastAsia="Calibri" w:cs=""/>
                <w:kern w:val="0"/>
                <w:szCs w:val="22"/>
                <w:lang w:val="fr-FR" w:eastAsia="en-US" w:bidi="ar-SA"/>
              </w:rPr>
            </w:pPr>
            <w:r>
              <w:rPr>
                <w:rFonts w:eastAsia="Calibri" w:cs=""/>
                <w:kern w:val="0"/>
                <w:szCs w:val="22"/>
                <w:lang w:val="fr-FR" w:eastAsia="en-US" w:bidi="ar-SA"/>
              </w:rPr>
              <w:t>Sérodiagnostic</w:t>
            </w:r>
          </w:p>
        </w:tc>
        <w:tc>
          <w:tcPr>
            <w:tcW w:w="6764" w:type="dxa"/>
            <w:tcBorders/>
            <w:shd w:color="auto" w:fill="auto" w:val="clear"/>
          </w:tcPr>
          <w:p>
            <w:pPr>
              <w:pStyle w:val="Normal"/>
              <w:widowControl/>
              <w:spacing w:lineRule="auto" w:line="240" w:before="0" w:after="0"/>
              <w:jc w:val="left"/>
              <w:rPr>
                <w:rFonts w:ascii="Calibri" w:hAnsi="Calibri" w:eastAsia="Calibri" w:cs=""/>
                <w:kern w:val="0"/>
                <w:szCs w:val="22"/>
                <w:lang w:val="fr-FR" w:eastAsia="en-US" w:bidi="ar-SA"/>
              </w:rPr>
            </w:pPr>
            <w:r>
              <w:rPr>
                <w:rFonts w:eastAsia="Calibri" w:cs=""/>
                <w:b/>
                <w:bCs/>
                <w:kern w:val="0"/>
                <w:szCs w:val="22"/>
                <w:lang w:val="fr-FR" w:eastAsia="en-US" w:bidi="ar-SA"/>
              </w:rPr>
              <w:t>2</w:t>
            </w:r>
            <w:r>
              <w:rPr>
                <w:rFonts w:eastAsia="Calibri" w:cs=""/>
                <w:kern w:val="0"/>
                <w:szCs w:val="22"/>
                <w:lang w:val="fr-FR" w:eastAsia="en-US" w:bidi="ar-SA"/>
              </w:rPr>
              <w:t xml:space="preserve"> - Sur quel principe sont fondés les analyses médicales ?</w:t>
            </w:r>
          </w:p>
        </w:tc>
      </w:tr>
    </w:tbl>
    <w:p>
      <w:pPr>
        <w:pStyle w:val="Normal"/>
        <w:tabs>
          <w:tab w:val="clear" w:pos="709"/>
          <w:tab w:val="left" w:pos="1635" w:leader="none"/>
        </w:tabs>
        <w:rPr/>
      </w:pPr>
      <w:r>
        <w:rPr/>
      </w:r>
    </w:p>
    <w:p>
      <w:pPr>
        <w:pStyle w:val="Normal"/>
        <w:spacing w:before="0" w:after="0"/>
        <w:rPr>
          <w:rFonts w:ascii="Arial" w:hAnsi="Arial" w:cs="Arial"/>
          <w:b/>
          <w:b/>
          <w:bCs/>
          <w:sz w:val="24"/>
          <w:szCs w:val="24"/>
        </w:rPr>
      </w:pPr>
      <w:r>
        <w:rPr>
          <w:rFonts w:cs="Arial" w:ascii="Arial" w:hAnsi="Arial"/>
          <w:b/>
          <w:bCs/>
          <w:sz w:val="24"/>
          <w:szCs w:val="24"/>
        </w:rPr>
      </w:r>
    </w:p>
    <w:p>
      <w:pPr>
        <w:pStyle w:val="Normal"/>
        <w:spacing w:before="0" w:after="0"/>
        <w:rPr>
          <w:rFonts w:ascii="Arial" w:hAnsi="Arial" w:cs="Arial"/>
          <w:b/>
          <w:b/>
          <w:bCs/>
          <w:sz w:val="24"/>
          <w:szCs w:val="24"/>
        </w:rPr>
      </w:pPr>
      <w:r>
        <w:rPr>
          <w:rFonts w:cs="Arial" w:ascii="Arial" w:hAnsi="Arial"/>
          <w:b/>
          <w:bCs/>
          <w:sz w:val="24"/>
          <w:szCs w:val="24"/>
        </w:rPr>
        <w:t xml:space="preserve">3. Exemple de progression concertée </w:t>
      </w:r>
    </w:p>
    <w:p>
      <w:pPr>
        <w:pStyle w:val="Normal"/>
        <w:spacing w:before="0" w:after="0"/>
        <w:rPr>
          <w:rFonts w:ascii="Arial" w:hAnsi="Arial" w:cs="Arial"/>
          <w:bCs/>
          <w:sz w:val="24"/>
          <w:szCs w:val="24"/>
        </w:rPr>
      </w:pPr>
      <w:r>
        <w:rPr>
          <w:rFonts w:cs="Arial" w:ascii="Arial" w:hAnsi="Arial"/>
          <w:bCs/>
          <w:sz w:val="24"/>
          <w:szCs w:val="24"/>
        </w:rPr>
      </w:r>
    </w:p>
    <w:p>
      <w:pPr>
        <w:sectPr>
          <w:footerReference w:type="default" r:id="rId2"/>
          <w:type w:val="nextPage"/>
          <w:pgSz w:w="11906" w:h="16838"/>
          <w:pgMar w:left="1021" w:right="849" w:header="0" w:top="709" w:footer="567" w:bottom="851" w:gutter="0"/>
          <w:pgNumType w:fmt="decimal"/>
          <w:formProt w:val="false"/>
          <w:textDirection w:val="lrTb"/>
          <w:docGrid w:type="default" w:linePitch="360" w:charSpace="4096"/>
        </w:sectPr>
      </w:pPr>
    </w:p>
    <w:p>
      <w:pPr>
        <w:pStyle w:val="Normal"/>
        <w:spacing w:before="0" w:after="0"/>
        <w:rPr>
          <w:rFonts w:ascii="Arial" w:hAnsi="Arial" w:cs="Arial"/>
          <w:bCs/>
        </w:rPr>
      </w:pPr>
      <w:r>
        <w:rPr>
          <w:rFonts w:cs="Arial" w:ascii="Arial" w:hAnsi="Arial"/>
          <w:bCs/>
        </w:rPr>
        <w:t>En biologie et physiopathologie humaine</w:t>
      </w:r>
    </w:p>
    <w:p>
      <w:pPr>
        <w:pStyle w:val="Normal"/>
        <w:spacing w:before="0" w:after="0"/>
        <w:rPr>
          <w:rFonts w:ascii="Arial" w:hAnsi="Arial" w:cs="Arial"/>
          <w:bCs/>
          <w:sz w:val="10"/>
          <w:szCs w:val="10"/>
        </w:rPr>
      </w:pPr>
      <w:r>
        <w:rPr>
          <w:rFonts w:cs="Arial" w:ascii="Arial" w:hAnsi="Arial"/>
          <w:bCs/>
          <w:sz w:val="10"/>
          <w:szCs w:val="10"/>
        </w:rPr>
      </w:r>
    </w:p>
    <w:tbl>
      <w:tblPr>
        <w:tblStyle w:val="Grilledutableau"/>
        <w:tblW w:w="5098"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5098"/>
      </w:tblGrid>
      <w:tr>
        <w:trPr/>
        <w:tc>
          <w:tcPr>
            <w:tcW w:w="5098" w:type="dxa"/>
            <w:tcBorders/>
            <w:shd w:color="auto" w:fill="auto" w:val="clear"/>
            <w:vAlign w:val="center"/>
          </w:tcPr>
          <w:p>
            <w:pPr>
              <w:pStyle w:val="Normal"/>
              <w:widowControl/>
              <w:spacing w:lineRule="auto" w:line="240" w:before="0" w:after="0"/>
              <w:jc w:val="left"/>
              <w:rPr>
                <w:b/>
                <w:b/>
                <w:bCs/>
              </w:rPr>
            </w:pPr>
            <w:r>
              <w:rPr>
                <w:rFonts w:eastAsia="Calibri" w:cs=""/>
                <w:b/>
                <w:bCs/>
                <w:kern w:val="0"/>
                <w:szCs w:val="22"/>
                <w:lang w:val="fr-FR" w:eastAsia="en-US" w:bidi="ar-SA"/>
              </w:rPr>
              <w:t>Milieu intérieur et homéostasie</w:t>
            </w:r>
          </w:p>
        </w:tc>
      </w:tr>
      <w:tr>
        <w:trPr/>
        <w:tc>
          <w:tcPr>
            <w:tcW w:w="5098" w:type="dxa"/>
            <w:tcBorders/>
            <w:shd w:color="auto" w:fill="auto" w:val="clear"/>
          </w:tcPr>
          <w:p>
            <w:pPr>
              <w:pStyle w:val="Normal"/>
              <w:widowControl/>
              <w:spacing w:lineRule="auto" w:line="240" w:before="0" w:after="0"/>
              <w:jc w:val="left"/>
              <w:rPr>
                <w:b/>
                <w:b/>
                <w:bCs/>
              </w:rPr>
            </w:pPr>
            <w:r>
              <w:rPr>
                <w:rFonts w:eastAsia="Calibri" w:cs=""/>
                <w:b/>
                <w:bCs/>
                <w:kern w:val="0"/>
                <w:szCs w:val="22"/>
                <w:lang w:val="fr-FR" w:eastAsia="en-US" w:bidi="ar-SA"/>
              </w:rPr>
              <w:t xml:space="preserve">1. </w:t>
            </w:r>
            <w:r>
              <w:rPr>
                <w:rFonts w:eastAsia="Calibri" w:cs=""/>
                <w:kern w:val="0"/>
                <w:szCs w:val="22"/>
                <w:lang w:val="fr-FR" w:eastAsia="en-US" w:bidi="ar-SA"/>
              </w:rPr>
              <w:t>Le milieu intérieur et sa régulation</w:t>
            </w:r>
          </w:p>
          <w:p>
            <w:pPr>
              <w:pStyle w:val="Normal"/>
              <w:widowControl/>
              <w:spacing w:lineRule="auto" w:line="240" w:before="0" w:after="0"/>
              <w:jc w:val="left"/>
              <w:rPr>
                <w:rFonts w:ascii="Arial" w:hAnsi="Arial" w:cs="Arial"/>
                <w:bCs/>
                <w:sz w:val="24"/>
                <w:szCs w:val="24"/>
              </w:rPr>
            </w:pPr>
            <w:r>
              <w:rPr>
                <w:rFonts w:eastAsia="Calibri" w:cs=""/>
                <w:b/>
                <w:bCs/>
                <w:kern w:val="0"/>
                <w:szCs w:val="22"/>
                <w:lang w:val="fr-FR" w:eastAsia="en-US" w:bidi="ar-SA"/>
              </w:rPr>
              <w:t>2.</w:t>
            </w:r>
            <w:r>
              <w:rPr>
                <w:rFonts w:eastAsia="Calibri" w:cs=""/>
                <w:kern w:val="0"/>
                <w:szCs w:val="22"/>
                <w:lang w:val="fr-FR" w:eastAsia="en-US" w:bidi="ar-SA"/>
              </w:rPr>
              <w:t xml:space="preserve"> La régulation de la glycémie</w:t>
            </w:r>
          </w:p>
          <w:p>
            <w:pPr>
              <w:pStyle w:val="Normal"/>
              <w:widowControl/>
              <w:spacing w:lineRule="auto" w:line="240" w:before="0" w:after="0"/>
              <w:jc w:val="left"/>
              <w:rPr>
                <w:b/>
                <w:b/>
                <w:bCs/>
              </w:rPr>
            </w:pPr>
            <w:r>
              <w:rPr>
                <w:rFonts w:eastAsia="Calibri" w:cs=""/>
                <w:b/>
                <w:bCs/>
                <w:kern w:val="0"/>
                <w:szCs w:val="22"/>
                <w:lang w:val="fr-FR" w:eastAsia="en-US" w:bidi="ar-SA"/>
              </w:rPr>
              <w:t>3.</w:t>
            </w:r>
            <w:r>
              <w:rPr>
                <w:rFonts w:eastAsia="Calibri" w:cs=""/>
                <w:kern w:val="0"/>
                <w:szCs w:val="22"/>
                <w:lang w:val="fr-FR" w:eastAsia="en-US" w:bidi="ar-SA"/>
              </w:rPr>
              <w:t xml:space="preserve"> Les diabètes sucrés</w:t>
            </w:r>
          </w:p>
        </w:tc>
      </w:tr>
      <w:tr>
        <w:trPr/>
        <w:tc>
          <w:tcPr>
            <w:tcW w:w="5098" w:type="dxa"/>
            <w:tcBorders/>
            <w:shd w:color="auto" w:fill="auto" w:val="clear"/>
          </w:tcPr>
          <w:p>
            <w:pPr>
              <w:pStyle w:val="Normal"/>
              <w:widowControl/>
              <w:spacing w:lineRule="auto" w:line="240" w:before="0" w:after="0"/>
              <w:jc w:val="left"/>
              <w:rPr>
                <w:b/>
                <w:b/>
                <w:bCs/>
              </w:rPr>
            </w:pPr>
            <w:r>
              <w:rPr>
                <w:rFonts w:eastAsia="Calibri" w:cs=""/>
                <w:b/>
                <w:bCs/>
                <w:kern w:val="0"/>
                <w:szCs w:val="22"/>
                <w:lang w:val="fr-FR" w:eastAsia="en-US" w:bidi="ar-SA"/>
              </w:rPr>
              <w:t>Gènes et transmission de l’information génétique</w:t>
            </w:r>
          </w:p>
        </w:tc>
      </w:tr>
      <w:tr>
        <w:trPr/>
        <w:tc>
          <w:tcPr>
            <w:tcW w:w="5098" w:type="dxa"/>
            <w:tcBorders/>
            <w:shd w:color="auto" w:fill="auto" w:val="clear"/>
          </w:tcPr>
          <w:p>
            <w:pPr>
              <w:pStyle w:val="Normal"/>
              <w:widowControl/>
              <w:spacing w:lineRule="auto" w:line="240" w:before="0" w:after="0"/>
              <w:jc w:val="left"/>
              <w:rPr>
                <w:rFonts w:ascii="Arial" w:hAnsi="Arial" w:cs="Arial"/>
                <w:bCs/>
                <w:sz w:val="24"/>
                <w:szCs w:val="24"/>
              </w:rPr>
            </w:pPr>
            <w:r>
              <w:rPr>
                <w:rFonts w:eastAsia="Calibri" w:cs=""/>
                <w:b/>
                <w:bCs/>
                <w:kern w:val="0"/>
                <w:szCs w:val="22"/>
                <w:lang w:val="fr-FR" w:eastAsia="en-US" w:bidi="ar-SA"/>
              </w:rPr>
              <w:t xml:space="preserve">4. </w:t>
            </w:r>
            <w:r>
              <w:rPr>
                <w:rFonts w:eastAsia="Calibri" w:cs=""/>
                <w:kern w:val="0"/>
                <w:szCs w:val="22"/>
                <w:lang w:val="fr-FR" w:eastAsia="en-US" w:bidi="ar-SA"/>
              </w:rPr>
              <w:t>Cellule et information génétique</w:t>
            </w:r>
          </w:p>
          <w:p>
            <w:pPr>
              <w:pStyle w:val="Normal"/>
              <w:widowControl/>
              <w:spacing w:lineRule="auto" w:line="240" w:before="0" w:after="0"/>
              <w:jc w:val="left"/>
              <w:rPr>
                <w:rFonts w:ascii="Arial" w:hAnsi="Arial" w:cs="Arial"/>
                <w:bCs/>
                <w:sz w:val="24"/>
                <w:szCs w:val="24"/>
              </w:rPr>
            </w:pPr>
            <w:r>
              <w:rPr>
                <w:rFonts w:eastAsia="Calibri" w:cs=""/>
                <w:b/>
                <w:bCs/>
                <w:kern w:val="0"/>
                <w:szCs w:val="22"/>
                <w:lang w:val="fr-FR" w:eastAsia="en-US" w:bidi="ar-SA"/>
              </w:rPr>
              <w:t xml:space="preserve">5. </w:t>
            </w:r>
            <w:r>
              <w:rPr>
                <w:rFonts w:eastAsia="Calibri" w:cs=""/>
                <w:kern w:val="0"/>
                <w:szCs w:val="22"/>
                <w:lang w:val="fr-FR" w:eastAsia="en-US" w:bidi="ar-SA"/>
              </w:rPr>
              <w:t>Du gène à la protéine</w:t>
            </w:r>
          </w:p>
          <w:p>
            <w:pPr>
              <w:pStyle w:val="Normal"/>
              <w:widowControl/>
              <w:spacing w:lineRule="auto" w:line="240" w:before="0" w:after="0"/>
              <w:jc w:val="left"/>
              <w:rPr>
                <w:rFonts w:ascii="Arial" w:hAnsi="Arial" w:cs="Arial"/>
                <w:bCs/>
                <w:sz w:val="24"/>
                <w:szCs w:val="24"/>
              </w:rPr>
            </w:pPr>
            <w:r>
              <w:rPr>
                <w:rFonts w:eastAsia="Calibri" w:cs=""/>
                <w:b/>
                <w:bCs/>
                <w:kern w:val="0"/>
                <w:szCs w:val="22"/>
                <w:lang w:val="fr-FR" w:eastAsia="en-US" w:bidi="ar-SA"/>
              </w:rPr>
              <w:t xml:space="preserve">6. </w:t>
            </w:r>
            <w:r>
              <w:rPr>
                <w:rFonts w:eastAsia="Calibri" w:cs=""/>
                <w:kern w:val="0"/>
                <w:szCs w:val="22"/>
                <w:lang w:val="fr-FR" w:eastAsia="en-US" w:bidi="ar-SA"/>
              </w:rPr>
              <w:t>Transmission des caractères héréditaires</w:t>
            </w:r>
          </w:p>
          <w:p>
            <w:pPr>
              <w:pStyle w:val="Normal"/>
              <w:widowControl/>
              <w:spacing w:lineRule="auto" w:line="240" w:before="0" w:after="0"/>
              <w:jc w:val="left"/>
              <w:rPr>
                <w:b/>
                <w:b/>
                <w:bCs/>
              </w:rPr>
            </w:pPr>
            <w:r>
              <w:rPr>
                <w:rFonts w:eastAsia="Calibri" w:cs=""/>
                <w:b/>
                <w:bCs/>
                <w:kern w:val="0"/>
                <w:szCs w:val="22"/>
                <w:lang w:val="fr-FR" w:eastAsia="en-US" w:bidi="ar-SA"/>
              </w:rPr>
              <w:t xml:space="preserve">7. </w:t>
            </w:r>
            <w:r>
              <w:rPr>
                <w:rFonts w:eastAsia="Calibri" w:cs=""/>
                <w:kern w:val="0"/>
                <w:szCs w:val="22"/>
                <w:lang w:val="fr-FR" w:eastAsia="en-US" w:bidi="ar-SA"/>
              </w:rPr>
              <w:t>Le cancer</w:t>
            </w:r>
          </w:p>
        </w:tc>
      </w:tr>
      <w:tr>
        <w:trPr/>
        <w:tc>
          <w:tcPr>
            <w:tcW w:w="5098" w:type="dxa"/>
            <w:tcBorders/>
            <w:shd w:color="auto" w:fill="auto" w:val="clear"/>
          </w:tcPr>
          <w:p>
            <w:pPr>
              <w:pStyle w:val="Normal"/>
              <w:widowControl/>
              <w:spacing w:lineRule="auto" w:line="240" w:before="0" w:after="0"/>
              <w:jc w:val="left"/>
              <w:rPr>
                <w:b/>
                <w:b/>
                <w:bCs/>
              </w:rPr>
            </w:pPr>
            <w:r>
              <w:rPr>
                <w:rFonts w:eastAsia="Calibri" w:cs=""/>
                <w:b/>
                <w:bCs/>
                <w:kern w:val="0"/>
                <w:szCs w:val="22"/>
                <w:lang w:val="fr-FR" w:eastAsia="en-US" w:bidi="ar-SA"/>
              </w:rPr>
              <w:t>Système immunitaire et défense de l’organisme</w:t>
            </w:r>
            <w:r>
              <w:rPr>
                <w:rFonts w:eastAsia="Calibri" w:cs=""/>
                <w:kern w:val="0"/>
                <w:szCs w:val="22"/>
                <w:lang w:val="fr-FR" w:eastAsia="en-US" w:bidi="ar-SA"/>
              </w:rPr>
              <w:t xml:space="preserve"> </w:t>
            </w:r>
            <w:r>
              <w:rPr>
                <w:rFonts w:eastAsia="Calibri" w:cs=""/>
                <w:b/>
                <w:bCs/>
                <w:kern w:val="0"/>
                <w:szCs w:val="22"/>
                <w:lang w:val="fr-FR" w:eastAsia="en-US" w:bidi="ar-SA"/>
              </w:rPr>
              <w:t>Avant (années paires)</w:t>
            </w:r>
          </w:p>
        </w:tc>
      </w:tr>
      <w:tr>
        <w:trPr/>
        <w:tc>
          <w:tcPr>
            <w:tcW w:w="5098" w:type="dxa"/>
            <w:tcBorders/>
            <w:shd w:color="auto" w:fill="auto" w:val="clear"/>
          </w:tcPr>
          <w:p>
            <w:pPr>
              <w:pStyle w:val="Normal"/>
              <w:widowControl/>
              <w:spacing w:lineRule="auto" w:line="240" w:before="0" w:after="0"/>
              <w:jc w:val="left"/>
              <w:rPr>
                <w:b/>
                <w:b/>
                <w:bCs/>
              </w:rPr>
            </w:pPr>
            <w:r>
              <w:rPr>
                <w:rFonts w:eastAsia="Calibri" w:cs=""/>
                <w:b/>
                <w:bCs/>
                <w:kern w:val="0"/>
                <w:szCs w:val="22"/>
                <w:lang w:val="fr-FR" w:eastAsia="en-US" w:bidi="ar-SA"/>
              </w:rPr>
              <w:t xml:space="preserve">8. </w:t>
            </w:r>
            <w:r>
              <w:rPr>
                <w:rFonts w:eastAsia="Calibri" w:cs=""/>
                <w:kern w:val="0"/>
                <w:szCs w:val="22"/>
                <w:lang w:val="fr-FR" w:eastAsia="en-US" w:bidi="ar-SA"/>
              </w:rPr>
              <w:t>Maladies infectieuses et traitement</w:t>
            </w:r>
          </w:p>
          <w:p>
            <w:pPr>
              <w:pStyle w:val="Normal"/>
              <w:widowControl/>
              <w:spacing w:lineRule="auto" w:line="240" w:before="0" w:after="0"/>
              <w:jc w:val="left"/>
              <w:rPr>
                <w:b/>
                <w:b/>
                <w:bCs/>
              </w:rPr>
            </w:pPr>
            <w:r>
              <w:rPr>
                <w:rFonts w:eastAsia="Calibri" w:cs=""/>
                <w:b/>
                <w:bCs/>
                <w:kern w:val="0"/>
                <w:szCs w:val="22"/>
                <w:lang w:val="fr-FR" w:eastAsia="en-US" w:bidi="ar-SA"/>
              </w:rPr>
              <w:t xml:space="preserve">9. </w:t>
            </w:r>
            <w:r>
              <w:rPr>
                <w:rFonts w:eastAsia="Calibri" w:cs=""/>
                <w:kern w:val="0"/>
                <w:szCs w:val="22"/>
                <w:lang w:val="fr-FR" w:eastAsia="en-US" w:bidi="ar-SA"/>
              </w:rPr>
              <w:t>Acteurs de l’immunité</w:t>
            </w:r>
          </w:p>
          <w:p>
            <w:pPr>
              <w:pStyle w:val="Normal"/>
              <w:widowControl/>
              <w:spacing w:lineRule="auto" w:line="240" w:before="0" w:after="0"/>
              <w:jc w:val="left"/>
              <w:rPr>
                <w:b/>
                <w:b/>
                <w:bCs/>
              </w:rPr>
            </w:pPr>
            <w:r>
              <w:rPr>
                <w:rFonts w:eastAsia="Calibri" w:cs=""/>
                <w:b/>
                <w:bCs/>
                <w:kern w:val="0"/>
                <w:szCs w:val="22"/>
                <w:lang w:val="fr-FR" w:eastAsia="en-US" w:bidi="ar-SA"/>
              </w:rPr>
              <w:t xml:space="preserve">10. </w:t>
            </w:r>
            <w:r>
              <w:rPr>
                <w:rFonts w:eastAsia="Calibri" w:cs=""/>
                <w:kern w:val="0"/>
                <w:szCs w:val="22"/>
                <w:lang w:val="fr-FR" w:eastAsia="en-US" w:bidi="ar-SA"/>
              </w:rPr>
              <w:t>La grippe</w:t>
            </w:r>
          </w:p>
          <w:p>
            <w:pPr>
              <w:pStyle w:val="Normal"/>
              <w:widowControl/>
              <w:spacing w:lineRule="auto" w:line="240" w:before="0" w:after="0"/>
              <w:jc w:val="left"/>
              <w:rPr>
                <w:b/>
                <w:b/>
                <w:bCs/>
              </w:rPr>
            </w:pPr>
            <w:r>
              <w:rPr>
                <w:rFonts w:eastAsia="Calibri" w:cs=""/>
                <w:b/>
                <w:bCs/>
                <w:kern w:val="0"/>
                <w:szCs w:val="22"/>
                <w:lang w:val="fr-FR" w:eastAsia="en-US" w:bidi="ar-SA"/>
              </w:rPr>
              <w:t xml:space="preserve">11. </w:t>
            </w:r>
            <w:r>
              <w:rPr>
                <w:rFonts w:eastAsia="Calibri" w:cs=""/>
                <w:kern w:val="0"/>
                <w:szCs w:val="22"/>
                <w:lang w:val="fr-FR" w:eastAsia="en-US" w:bidi="ar-SA"/>
              </w:rPr>
              <w:t>Mécanisme de la réponse immunitaire acquise</w:t>
            </w:r>
          </w:p>
        </w:tc>
      </w:tr>
      <w:tr>
        <w:trPr/>
        <w:tc>
          <w:tcPr>
            <w:tcW w:w="5098" w:type="dxa"/>
            <w:tcBorders/>
            <w:shd w:color="auto" w:fill="auto" w:val="clear"/>
          </w:tcPr>
          <w:p>
            <w:pPr>
              <w:pStyle w:val="Normal"/>
              <w:widowControl/>
              <w:spacing w:lineRule="auto" w:line="240" w:before="0" w:after="0"/>
              <w:jc w:val="left"/>
              <w:rPr>
                <w:b/>
                <w:b/>
                <w:bCs/>
                <w:i/>
                <w:i/>
              </w:rPr>
            </w:pPr>
            <w:r>
              <w:rPr>
                <w:rFonts w:eastAsia="Calibri" w:cs=""/>
                <w:b/>
                <w:bCs/>
                <w:i/>
                <w:color w:val="FF0000"/>
                <w:kern w:val="0"/>
                <w:szCs w:val="22"/>
                <w:lang w:val="fr-FR" w:eastAsia="en-US" w:bidi="ar-SA"/>
              </w:rPr>
              <w:t>Appareil reproducteur et transmission de la vie (après examen, années paires)</w:t>
            </w:r>
          </w:p>
        </w:tc>
      </w:tr>
      <w:tr>
        <w:trPr/>
        <w:tc>
          <w:tcPr>
            <w:tcW w:w="5098" w:type="dxa"/>
            <w:tcBorders/>
            <w:shd w:color="auto" w:fill="auto" w:val="clear"/>
          </w:tcPr>
          <w:p>
            <w:pPr>
              <w:pStyle w:val="Normal"/>
              <w:widowControl/>
              <w:spacing w:lineRule="auto" w:line="240" w:before="0" w:after="0"/>
              <w:jc w:val="left"/>
              <w:rPr>
                <w:i/>
                <w:i/>
                <w:color w:val="FF0000"/>
              </w:rPr>
            </w:pPr>
            <w:r>
              <w:rPr>
                <w:rFonts w:eastAsia="Calibri" w:cs=""/>
                <w:b/>
                <w:bCs/>
                <w:i/>
                <w:color w:val="FF0000"/>
                <w:kern w:val="0"/>
                <w:szCs w:val="22"/>
                <w:lang w:val="fr-FR" w:eastAsia="en-US" w:bidi="ar-SA"/>
              </w:rPr>
              <w:t>12.</w:t>
            </w:r>
            <w:r>
              <w:rPr>
                <w:rFonts w:eastAsia="Calibri" w:cs=""/>
                <w:i/>
                <w:color w:val="FF0000"/>
                <w:kern w:val="0"/>
                <w:szCs w:val="22"/>
                <w:lang w:val="fr-FR" w:eastAsia="en-US" w:bidi="ar-SA"/>
              </w:rPr>
              <w:t xml:space="preserve"> Anatomie et physiologie des appareils reproducteurs</w:t>
            </w:r>
          </w:p>
          <w:p>
            <w:pPr>
              <w:pStyle w:val="Normal"/>
              <w:widowControl/>
              <w:spacing w:lineRule="auto" w:line="240" w:before="0" w:after="0"/>
              <w:jc w:val="left"/>
              <w:rPr>
                <w:i/>
                <w:i/>
                <w:color w:val="FF0000"/>
              </w:rPr>
            </w:pPr>
            <w:r>
              <w:rPr>
                <w:rFonts w:eastAsia="Calibri" w:cs=""/>
                <w:b/>
                <w:bCs/>
                <w:i/>
                <w:color w:val="FF0000"/>
                <w:kern w:val="0"/>
                <w:szCs w:val="22"/>
                <w:lang w:val="fr-FR" w:eastAsia="en-US" w:bidi="ar-SA"/>
              </w:rPr>
              <w:t>13.</w:t>
            </w:r>
            <w:r>
              <w:rPr>
                <w:rFonts w:eastAsia="Calibri" w:cs=""/>
                <w:i/>
                <w:color w:val="FF0000"/>
                <w:kern w:val="0"/>
                <w:szCs w:val="22"/>
                <w:lang w:val="fr-FR" w:eastAsia="en-US" w:bidi="ar-SA"/>
              </w:rPr>
              <w:t xml:space="preserve"> Fécondation, nidation et grossesse.</w:t>
            </w:r>
          </w:p>
          <w:p>
            <w:pPr>
              <w:pStyle w:val="Normal"/>
              <w:widowControl/>
              <w:spacing w:lineRule="auto" w:line="240" w:before="0" w:after="0"/>
              <w:jc w:val="left"/>
              <w:rPr>
                <w:i/>
                <w:i/>
                <w:color w:val="FF0000"/>
              </w:rPr>
            </w:pPr>
            <w:r>
              <w:rPr>
                <w:rFonts w:eastAsia="Calibri" w:cs=""/>
                <w:b/>
                <w:bCs/>
                <w:i/>
                <w:color w:val="FF0000"/>
                <w:kern w:val="0"/>
                <w:szCs w:val="22"/>
                <w:lang w:val="fr-FR" w:eastAsia="en-US" w:bidi="ar-SA"/>
              </w:rPr>
              <w:t xml:space="preserve">14. </w:t>
            </w:r>
            <w:r>
              <w:rPr>
                <w:rFonts w:eastAsia="Calibri" w:cs=""/>
                <w:i/>
                <w:color w:val="FF0000"/>
                <w:kern w:val="0"/>
                <w:szCs w:val="22"/>
                <w:lang w:val="fr-FR" w:eastAsia="en-US" w:bidi="ar-SA"/>
              </w:rPr>
              <w:t>Régulation de la fonction de reproduction</w:t>
            </w:r>
          </w:p>
          <w:p>
            <w:pPr>
              <w:pStyle w:val="Normal"/>
              <w:widowControl/>
              <w:spacing w:lineRule="auto" w:line="240" w:before="0" w:after="0"/>
              <w:jc w:val="left"/>
              <w:rPr>
                <w:b/>
                <w:b/>
                <w:bCs/>
                <w:i/>
                <w:i/>
                <w:color w:val="FF0000"/>
              </w:rPr>
            </w:pPr>
            <w:r>
              <w:rPr>
                <w:rFonts w:eastAsia="Calibri" w:cs=""/>
                <w:b/>
                <w:bCs/>
                <w:i/>
                <w:color w:val="FF0000"/>
                <w:kern w:val="0"/>
                <w:szCs w:val="22"/>
                <w:lang w:val="fr-FR" w:eastAsia="en-US" w:bidi="ar-SA"/>
              </w:rPr>
              <w:t>15.</w:t>
            </w:r>
            <w:r>
              <w:rPr>
                <w:rFonts w:eastAsia="Calibri" w:cs=""/>
                <w:i/>
                <w:color w:val="FF0000"/>
                <w:kern w:val="0"/>
                <w:szCs w:val="22"/>
                <w:lang w:val="fr-FR" w:eastAsia="en-US" w:bidi="ar-SA"/>
              </w:rPr>
              <w:t xml:space="preserve"> Infertilité et aide médicale à la procréation</w:t>
            </w:r>
          </w:p>
        </w:tc>
      </w:tr>
    </w:tbl>
    <w:p>
      <w:pPr>
        <w:pStyle w:val="Normal"/>
        <w:rPr>
          <w:rFonts w:ascii="Arial" w:hAnsi="Arial" w:cs="Arial"/>
          <w:bCs/>
        </w:rPr>
      </w:pPr>
      <w:r>
        <w:rPr>
          <w:rFonts w:cs="Arial" w:ascii="Arial" w:hAnsi="Arial"/>
          <w:bCs/>
        </w:rPr>
        <w:t>En Chimie (au regard de la progression de BPH)</w:t>
      </w:r>
    </w:p>
    <w:p>
      <w:pPr>
        <w:sectPr>
          <w:type w:val="continuous"/>
          <w:pgSz w:w="11906" w:h="16838"/>
          <w:pgMar w:left="1021" w:right="849" w:header="0" w:top="709" w:footer="567" w:bottom="851" w:gutter="0"/>
          <w:cols w:num="2" w:space="454" w:equalWidth="true" w:sep="false"/>
          <w:formProt w:val="false"/>
          <w:textDirection w:val="lrTb"/>
          <w:docGrid w:type="default" w:linePitch="360" w:charSpace="4096"/>
        </w:sectPr>
      </w:pPr>
    </w:p>
    <w:tbl>
      <w:tblPr>
        <w:tblStyle w:val="Grilledutableau"/>
        <w:tblW w:w="5098"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5098"/>
      </w:tblGrid>
      <w:tr>
        <w:trPr/>
        <w:tc>
          <w:tcPr>
            <w:tcW w:w="5098" w:type="dxa"/>
            <w:tcBorders/>
            <w:shd w:color="auto" w:fill="auto" w:val="clear"/>
            <w:vAlign w:val="center"/>
          </w:tcPr>
          <w:p>
            <w:pPr>
              <w:pStyle w:val="Normal"/>
              <w:widowControl/>
              <w:spacing w:lineRule="auto" w:line="240" w:before="0" w:after="0"/>
              <w:jc w:val="left"/>
              <w:rPr>
                <w:b/>
                <w:b/>
                <w:bCs/>
              </w:rPr>
            </w:pPr>
            <w:r>
              <w:rPr>
                <w:rFonts w:eastAsia="Calibri" w:cs=""/>
                <w:b/>
                <w:bCs/>
                <w:color w:val="000000"/>
                <w:kern w:val="0"/>
                <w:szCs w:val="22"/>
                <w:lang w:val="fr-FR" w:eastAsia="en-US" w:bidi="ar-SA"/>
              </w:rPr>
              <w:t>Thème 2 : Analyser et diagnostiquer</w:t>
            </w:r>
          </w:p>
        </w:tc>
      </w:tr>
      <w:tr>
        <w:trPr/>
        <w:tc>
          <w:tcPr>
            <w:tcW w:w="5098" w:type="dxa"/>
            <w:tcBorders/>
            <w:shd w:color="auto" w:fill="auto" w:val="clear"/>
          </w:tcPr>
          <w:p>
            <w:pPr>
              <w:pStyle w:val="Contenudetableau"/>
              <w:widowControl/>
              <w:spacing w:lineRule="auto" w:line="240" w:before="0" w:after="0"/>
              <w:contextualSpacing/>
              <w:jc w:val="left"/>
              <w:rPr>
                <w:color w:val="000000"/>
              </w:rPr>
            </w:pPr>
            <w:r>
              <w:rPr>
                <w:rFonts w:eastAsia="Calibri" w:cs=""/>
                <w:b/>
                <w:bCs/>
                <w:color w:val="000000"/>
                <w:kern w:val="0"/>
                <w:sz w:val="20"/>
                <w:szCs w:val="22"/>
                <w:lang w:val="fr-FR" w:eastAsia="en-US" w:bidi="ar-SA"/>
              </w:rPr>
              <w:t>1.</w:t>
            </w:r>
            <w:r>
              <w:rPr>
                <w:rFonts w:eastAsia="Calibri" w:cs=""/>
                <w:color w:val="000000"/>
                <w:kern w:val="0"/>
                <w:sz w:val="20"/>
                <w:szCs w:val="22"/>
                <w:lang w:val="fr-FR" w:eastAsia="en-US" w:bidi="ar-SA"/>
              </w:rPr>
              <w:t xml:space="preserve"> Imagerie médicale : Rayons X et IRM</w:t>
            </w:r>
          </w:p>
          <w:p>
            <w:pPr>
              <w:pStyle w:val="Contenudetableau"/>
              <w:widowControl/>
              <w:spacing w:lineRule="auto" w:line="240" w:before="0" w:after="0"/>
              <w:contextualSpacing/>
              <w:jc w:val="left"/>
              <w:rPr>
                <w:color w:val="000000"/>
              </w:rPr>
            </w:pPr>
            <w:r>
              <w:rPr>
                <w:rFonts w:eastAsia="Calibri" w:cs=""/>
                <w:b/>
                <w:bCs/>
                <w:color w:val="000000"/>
                <w:kern w:val="0"/>
                <w:sz w:val="20"/>
                <w:szCs w:val="22"/>
                <w:lang w:val="fr-FR" w:eastAsia="en-US" w:bidi="ar-SA"/>
              </w:rPr>
              <w:t>2.</w:t>
            </w:r>
            <w:r>
              <w:rPr>
                <w:rFonts w:eastAsia="Calibri" w:cs=""/>
                <w:color w:val="000000"/>
                <w:kern w:val="0"/>
                <w:sz w:val="20"/>
                <w:szCs w:val="22"/>
                <w:lang w:val="fr-FR" w:eastAsia="en-US" w:bidi="ar-SA"/>
              </w:rPr>
              <w:t xml:space="preserve"> Principes chimiques et analyses médicales</w:t>
            </w:r>
          </w:p>
          <w:p>
            <w:pPr>
              <w:pStyle w:val="Contenudetableau"/>
              <w:widowControl/>
              <w:spacing w:lineRule="auto" w:line="240" w:before="0" w:after="0"/>
              <w:contextualSpacing/>
              <w:jc w:val="left"/>
              <w:rPr>
                <w:rFonts w:ascii="Arial" w:hAnsi="Arial" w:cs="Arial"/>
                <w:bCs/>
                <w:sz w:val="24"/>
                <w:szCs w:val="24"/>
              </w:rPr>
            </w:pPr>
            <w:r>
              <w:rPr>
                <w:rFonts w:eastAsia="Calibri" w:cs=""/>
                <w:b/>
                <w:bCs/>
                <w:color w:val="000000"/>
                <w:kern w:val="0"/>
                <w:sz w:val="20"/>
                <w:szCs w:val="22"/>
                <w:lang w:val="fr-FR" w:eastAsia="en-US" w:bidi="ar-SA"/>
              </w:rPr>
              <w:t>3.</w:t>
            </w:r>
            <w:r>
              <w:rPr>
                <w:rFonts w:eastAsia="Calibri" w:cs=""/>
                <w:color w:val="000000"/>
                <w:kern w:val="0"/>
                <w:sz w:val="20"/>
                <w:szCs w:val="22"/>
                <w:lang w:val="fr-FR" w:eastAsia="en-US" w:bidi="ar-SA"/>
              </w:rPr>
              <w:t xml:space="preserve"> Échographie Doppler</w:t>
            </w:r>
          </w:p>
          <w:p>
            <w:pPr>
              <w:pStyle w:val="Contenudetableau"/>
              <w:widowControl/>
              <w:spacing w:lineRule="auto" w:line="240" w:before="0" w:after="0"/>
              <w:contextualSpacing/>
              <w:jc w:val="left"/>
              <w:rPr>
                <w:color w:val="000000"/>
              </w:rPr>
            </w:pPr>
            <w:r>
              <w:rPr>
                <w:rFonts w:eastAsia="Calibri" w:cs=""/>
                <w:b/>
                <w:bCs/>
                <w:color w:val="000000"/>
                <w:kern w:val="0"/>
                <w:sz w:val="20"/>
                <w:szCs w:val="22"/>
                <w:lang w:val="fr-FR" w:eastAsia="en-US" w:bidi="ar-SA"/>
              </w:rPr>
              <w:t>4.</w:t>
            </w:r>
            <w:r>
              <w:rPr>
                <w:rFonts w:eastAsia="Calibri" w:cs=""/>
                <w:color w:val="000000"/>
                <w:kern w:val="0"/>
                <w:sz w:val="20"/>
                <w:szCs w:val="22"/>
                <w:lang w:val="fr-FR" w:eastAsia="en-US" w:bidi="ar-SA"/>
              </w:rPr>
              <w:t xml:space="preserve"> Marqueurs radioactifs et imagerie médicale</w:t>
            </w:r>
          </w:p>
        </w:tc>
      </w:tr>
      <w:tr>
        <w:trPr/>
        <w:tc>
          <w:tcPr>
            <w:tcW w:w="5098" w:type="dxa"/>
            <w:tcBorders/>
            <w:shd w:color="auto" w:fill="auto" w:val="clear"/>
          </w:tcPr>
          <w:p>
            <w:pPr>
              <w:pStyle w:val="Normal"/>
              <w:widowControl/>
              <w:spacing w:lineRule="auto" w:line="240" w:before="0" w:after="0"/>
              <w:jc w:val="left"/>
              <w:rPr>
                <w:b/>
                <w:b/>
                <w:bCs/>
              </w:rPr>
            </w:pPr>
            <w:r>
              <w:rPr>
                <w:rFonts w:eastAsia="Calibri" w:cs=""/>
                <w:b/>
                <w:bCs/>
                <w:color w:val="000000"/>
                <w:kern w:val="0"/>
                <w:szCs w:val="22"/>
                <w:lang w:val="fr-FR" w:eastAsia="en-US" w:bidi="ar-SA"/>
              </w:rPr>
              <w:t>Thème 3 : Faire des choix autonomes et responsables</w:t>
            </w:r>
          </w:p>
        </w:tc>
      </w:tr>
      <w:tr>
        <w:trPr/>
        <w:tc>
          <w:tcPr>
            <w:tcW w:w="5098" w:type="dxa"/>
            <w:tcBorders/>
            <w:shd w:color="auto" w:fill="auto" w:val="clear"/>
          </w:tcPr>
          <w:p>
            <w:pPr>
              <w:pStyle w:val="ListParagraph"/>
              <w:widowControl/>
              <w:suppressLineNumbers/>
              <w:spacing w:lineRule="auto" w:line="240" w:before="0" w:after="0"/>
              <w:ind w:left="0" w:hanging="0"/>
              <w:contextualSpacing/>
              <w:jc w:val="left"/>
              <w:rPr>
                <w:color w:val="000000"/>
              </w:rPr>
            </w:pPr>
            <w:r>
              <w:rPr>
                <w:rFonts w:eastAsia="Calibri" w:cs=""/>
                <w:b/>
                <w:bCs/>
                <w:color w:val="000000"/>
                <w:kern w:val="0"/>
                <w:szCs w:val="22"/>
                <w:lang w:val="fr-FR" w:eastAsia="en-US" w:bidi="ar-SA"/>
              </w:rPr>
              <w:t>5.</w:t>
            </w:r>
            <w:r>
              <w:rPr>
                <w:rFonts w:eastAsia="Calibri" w:cs=""/>
                <w:color w:val="000000"/>
                <w:kern w:val="0"/>
                <w:szCs w:val="22"/>
                <w:lang w:val="fr-FR" w:eastAsia="en-US" w:bidi="ar-SA"/>
              </w:rPr>
              <w:t xml:space="preserve"> Des acides alpha-aminés aux protéines</w:t>
            </w:r>
          </w:p>
          <w:p>
            <w:pPr>
              <w:pStyle w:val="Normal"/>
              <w:widowControl/>
              <w:spacing w:lineRule="auto" w:line="240" w:before="0" w:after="0"/>
              <w:jc w:val="left"/>
              <w:rPr>
                <w:b/>
                <w:b/>
                <w:bCs/>
              </w:rPr>
            </w:pPr>
            <w:r>
              <w:rPr>
                <w:rFonts w:eastAsia="Calibri" w:cs=""/>
                <w:b/>
                <w:bCs/>
                <w:color w:val="000000"/>
                <w:kern w:val="0"/>
                <w:szCs w:val="22"/>
                <w:lang w:val="fr-FR" w:eastAsia="en-US" w:bidi="ar-SA"/>
              </w:rPr>
              <w:t xml:space="preserve">6. </w:t>
            </w:r>
            <w:r>
              <w:rPr>
                <w:rFonts w:eastAsia="Calibri" w:cs=""/>
                <w:color w:val="000000"/>
                <w:kern w:val="0"/>
                <w:szCs w:val="22"/>
                <w:lang w:val="fr-FR" w:eastAsia="en-US" w:bidi="ar-SA"/>
              </w:rPr>
              <w:t>Lipides et santé</w:t>
            </w:r>
          </w:p>
        </w:tc>
      </w:tr>
      <w:tr>
        <w:trPr/>
        <w:tc>
          <w:tcPr>
            <w:tcW w:w="5098" w:type="dxa"/>
            <w:tcBorders/>
            <w:shd w:color="auto" w:fill="auto" w:val="clear"/>
          </w:tcPr>
          <w:p>
            <w:pPr>
              <w:pStyle w:val="Normal"/>
              <w:widowControl/>
              <w:spacing w:lineRule="auto" w:line="240" w:before="0" w:after="0"/>
              <w:jc w:val="left"/>
              <w:rPr>
                <w:b/>
                <w:b/>
                <w:bCs/>
              </w:rPr>
            </w:pPr>
            <w:r>
              <w:rPr>
                <w:rFonts w:eastAsia="Calibri" w:cs=""/>
                <w:b/>
                <w:bCs/>
                <w:color w:val="000000"/>
                <w:kern w:val="0"/>
                <w:szCs w:val="22"/>
                <w:lang w:val="fr-FR" w:eastAsia="en-US" w:bidi="ar-SA"/>
              </w:rPr>
              <w:t>Thème 1 : Prévenir et sécuriser</w:t>
            </w:r>
          </w:p>
        </w:tc>
      </w:tr>
      <w:tr>
        <w:trPr/>
        <w:tc>
          <w:tcPr>
            <w:tcW w:w="5098" w:type="dxa"/>
            <w:tcBorders/>
            <w:shd w:color="auto" w:fill="auto" w:val="clear"/>
          </w:tcPr>
          <w:p>
            <w:pPr>
              <w:pStyle w:val="ListParagraph"/>
              <w:widowControl/>
              <w:suppressLineNumbers/>
              <w:spacing w:lineRule="auto" w:line="240" w:before="0" w:after="0"/>
              <w:ind w:left="0" w:hanging="0"/>
              <w:contextualSpacing/>
              <w:jc w:val="left"/>
              <w:rPr>
                <w:rFonts w:ascii="Arial" w:hAnsi="Arial" w:cs="Arial"/>
                <w:bCs/>
                <w:sz w:val="24"/>
                <w:szCs w:val="24"/>
              </w:rPr>
            </w:pPr>
            <w:r>
              <w:rPr>
                <w:rFonts w:eastAsia="Calibri" w:cs=""/>
                <w:b/>
                <w:bCs/>
                <w:kern w:val="0"/>
                <w:szCs w:val="22"/>
                <w:lang w:val="fr-FR" w:eastAsia="en-US" w:bidi="ar-SA"/>
              </w:rPr>
              <w:t>7.</w:t>
            </w:r>
            <w:r>
              <w:rPr>
                <w:rFonts w:eastAsia="Calibri" w:cs=""/>
                <w:kern w:val="0"/>
                <w:szCs w:val="22"/>
                <w:lang w:val="fr-FR" w:eastAsia="en-US" w:bidi="ar-SA"/>
              </w:rPr>
              <w:t xml:space="preserve"> Sécurité physico-chimique des aliments</w:t>
            </w:r>
          </w:p>
          <w:p>
            <w:pPr>
              <w:pStyle w:val="ListParagraph"/>
              <w:widowControl/>
              <w:suppressLineNumbers/>
              <w:spacing w:lineRule="auto" w:line="240" w:before="0" w:after="0"/>
              <w:ind w:left="0" w:hanging="0"/>
              <w:contextualSpacing/>
              <w:jc w:val="left"/>
              <w:rPr>
                <w:rFonts w:ascii="Arial" w:hAnsi="Arial" w:cs="Arial"/>
                <w:bCs/>
                <w:sz w:val="24"/>
                <w:szCs w:val="24"/>
              </w:rPr>
            </w:pPr>
            <w:r>
              <w:rPr>
                <w:rFonts w:eastAsia="Calibri" w:cs=""/>
                <w:b/>
                <w:bCs/>
                <w:kern w:val="0"/>
                <w:szCs w:val="22"/>
                <w:lang w:val="fr-FR" w:eastAsia="en-US" w:bidi="ar-SA"/>
              </w:rPr>
              <w:t>8.</w:t>
            </w:r>
            <w:r>
              <w:rPr>
                <w:rFonts w:eastAsia="Calibri" w:cs=""/>
                <w:kern w:val="0"/>
                <w:szCs w:val="22"/>
                <w:lang w:val="fr-FR" w:eastAsia="en-US" w:bidi="ar-SA"/>
              </w:rPr>
              <w:t xml:space="preserve"> Contrôle de la qualité de l’eau</w:t>
            </w:r>
          </w:p>
          <w:p>
            <w:pPr>
              <w:pStyle w:val="ListParagraph"/>
              <w:widowControl/>
              <w:suppressLineNumbers/>
              <w:spacing w:lineRule="auto" w:line="240" w:before="0" w:after="0"/>
              <w:ind w:left="0" w:hanging="0"/>
              <w:contextualSpacing/>
              <w:jc w:val="left"/>
              <w:rPr>
                <w:rFonts w:ascii="Arial" w:hAnsi="Arial" w:cs="Arial"/>
                <w:bCs/>
                <w:sz w:val="24"/>
                <w:szCs w:val="24"/>
              </w:rPr>
            </w:pPr>
            <w:r>
              <w:rPr>
                <w:rFonts w:eastAsia="Calibri" w:cs=""/>
                <w:b/>
                <w:bCs/>
                <w:kern w:val="0"/>
                <w:szCs w:val="22"/>
                <w:lang w:val="fr-FR" w:eastAsia="en-US" w:bidi="ar-SA"/>
              </w:rPr>
              <w:t xml:space="preserve">9. </w:t>
            </w:r>
            <w:r>
              <w:rPr>
                <w:rFonts w:eastAsia="Calibri" w:cs=""/>
                <w:kern w:val="0"/>
                <w:szCs w:val="22"/>
                <w:lang w:val="fr-FR" w:eastAsia="en-US" w:bidi="ar-SA"/>
              </w:rPr>
              <w:t>Contrôle de la qualité de l’air</w:t>
            </w:r>
          </w:p>
          <w:p>
            <w:pPr>
              <w:pStyle w:val="Normal"/>
              <w:widowControl/>
              <w:spacing w:lineRule="auto" w:line="240" w:before="0" w:after="0"/>
              <w:jc w:val="left"/>
              <w:rPr>
                <w:b/>
                <w:b/>
                <w:bCs/>
                <w:i/>
                <w:i/>
                <w:iCs/>
                <w:color w:val="FF0000"/>
              </w:rPr>
            </w:pPr>
            <w:r>
              <w:rPr>
                <w:rFonts w:eastAsia="Calibri" w:cs="Calibri" w:cstheme="minorHAnsi"/>
                <w:b/>
                <w:bCs/>
                <w:i/>
                <w:iCs/>
                <w:color w:val="FF0000"/>
                <w:kern w:val="0"/>
                <w:szCs w:val="22"/>
                <w:lang w:val="fr-FR" w:eastAsia="en-US" w:bidi="ar-SA"/>
              </w:rPr>
              <w:t xml:space="preserve">Chapitres 8 et 9 délestés de la question : « Comment les polluants de l'air et de l'eau sont-ils gérés ? » </w:t>
            </w:r>
            <w:r>
              <w:rPr>
                <w:rFonts w:eastAsia="Calibri" w:cs=""/>
                <w:b/>
                <w:bCs/>
                <w:i/>
                <w:iCs/>
                <w:color w:val="FF0000"/>
                <w:kern w:val="0"/>
                <w:szCs w:val="22"/>
                <w:lang w:val="fr-FR" w:eastAsia="en-US" w:bidi="ar-SA"/>
              </w:rPr>
              <w:t>(après examen)</w:t>
            </w:r>
          </w:p>
          <w:p>
            <w:pPr>
              <w:pStyle w:val="ListParagraph"/>
              <w:widowControl/>
              <w:suppressLineNumbers/>
              <w:spacing w:lineRule="auto" w:line="240" w:before="0" w:after="0"/>
              <w:ind w:left="0" w:hanging="0"/>
              <w:contextualSpacing/>
              <w:jc w:val="left"/>
              <w:rPr>
                <w:b/>
                <w:b/>
                <w:bCs/>
              </w:rPr>
            </w:pPr>
            <w:r>
              <w:rPr>
                <w:rFonts w:eastAsia="Calibri" w:cs=""/>
                <w:b/>
                <w:bCs/>
                <w:kern w:val="0"/>
                <w:szCs w:val="22"/>
                <w:lang w:val="fr-FR" w:eastAsia="en-US" w:bidi="ar-SA"/>
              </w:rPr>
              <w:t xml:space="preserve">10. </w:t>
            </w:r>
            <w:r>
              <w:rPr>
                <w:rFonts w:eastAsia="Calibri" w:cs=""/>
                <w:kern w:val="0"/>
                <w:szCs w:val="22"/>
                <w:lang w:val="fr-FR" w:eastAsia="en-US" w:bidi="ar-SA"/>
              </w:rPr>
              <w:t>Sécurité routière : airbag et alcootest</w:t>
            </w:r>
          </w:p>
        </w:tc>
      </w:tr>
      <w:tr>
        <w:trPr/>
        <w:tc>
          <w:tcPr>
            <w:tcW w:w="5098" w:type="dxa"/>
            <w:tcBorders/>
            <w:shd w:color="auto" w:fill="auto" w:val="clear"/>
          </w:tcPr>
          <w:p>
            <w:pPr>
              <w:pStyle w:val="Normal"/>
              <w:widowControl/>
              <w:spacing w:lineRule="auto" w:line="240" w:before="0" w:after="0"/>
              <w:jc w:val="left"/>
              <w:rPr>
                <w:b/>
                <w:b/>
                <w:bCs/>
              </w:rPr>
            </w:pPr>
            <w:r>
              <w:rPr>
                <w:rFonts w:eastAsia="Calibri" w:cs=""/>
                <w:b/>
                <w:bCs/>
                <w:color w:val="000000"/>
                <w:kern w:val="0"/>
                <w:szCs w:val="22"/>
                <w:lang w:val="fr-FR" w:eastAsia="en-US" w:bidi="ar-SA"/>
              </w:rPr>
              <w:t>Thème 3 : Faire des choix autonomes et responsables</w:t>
            </w:r>
          </w:p>
        </w:tc>
      </w:tr>
      <w:tr>
        <w:trPr/>
        <w:tc>
          <w:tcPr>
            <w:tcW w:w="5098" w:type="dxa"/>
            <w:tcBorders/>
            <w:shd w:color="auto" w:fill="auto" w:val="clear"/>
          </w:tcPr>
          <w:p>
            <w:pPr>
              <w:pStyle w:val="ListParagraph"/>
              <w:widowControl/>
              <w:suppressLineNumbers/>
              <w:spacing w:lineRule="auto" w:line="240" w:before="0" w:after="0"/>
              <w:ind w:left="0" w:hanging="0"/>
              <w:contextualSpacing/>
              <w:jc w:val="left"/>
              <w:rPr>
                <w:color w:val="000000"/>
              </w:rPr>
            </w:pPr>
            <w:r>
              <w:rPr>
                <w:rFonts w:eastAsia="Calibri" w:cs=""/>
                <w:b/>
                <w:bCs/>
                <w:color w:val="000000"/>
                <w:kern w:val="0"/>
                <w:szCs w:val="22"/>
                <w:lang w:val="fr-FR" w:eastAsia="en-US" w:bidi="ar-SA"/>
              </w:rPr>
              <w:t xml:space="preserve">11. </w:t>
            </w:r>
            <w:r>
              <w:rPr>
                <w:rFonts w:eastAsia="Calibri" w:cs=""/>
                <w:color w:val="000000"/>
                <w:kern w:val="0"/>
                <w:szCs w:val="22"/>
                <w:lang w:val="fr-FR" w:eastAsia="en-US" w:bidi="ar-SA"/>
              </w:rPr>
              <w:t>Vitamines et oligoéléments</w:t>
            </w:r>
          </w:p>
          <w:p>
            <w:pPr>
              <w:pStyle w:val="ListParagraph"/>
              <w:widowControl/>
              <w:suppressLineNumbers/>
              <w:spacing w:lineRule="auto" w:line="240" w:before="0" w:after="0"/>
              <w:ind w:left="0" w:hanging="0"/>
              <w:contextualSpacing/>
              <w:jc w:val="left"/>
              <w:rPr>
                <w:color w:val="000000"/>
              </w:rPr>
            </w:pPr>
            <w:r>
              <w:rPr>
                <w:rFonts w:eastAsia="Calibri" w:cs=""/>
                <w:b/>
                <w:bCs/>
                <w:color w:val="000000"/>
                <w:kern w:val="0"/>
                <w:szCs w:val="22"/>
                <w:lang w:val="fr-FR" w:eastAsia="en-US" w:bidi="ar-SA"/>
              </w:rPr>
              <w:t>12.</w:t>
            </w:r>
            <w:r>
              <w:rPr>
                <w:rFonts w:eastAsia="Calibri" w:cs=""/>
                <w:color w:val="000000"/>
                <w:kern w:val="0"/>
                <w:szCs w:val="22"/>
                <w:lang w:val="fr-FR" w:eastAsia="en-US" w:bidi="ar-SA"/>
              </w:rPr>
              <w:t xml:space="preserve"> Additifs alimentaires</w:t>
            </w:r>
          </w:p>
          <w:p>
            <w:pPr>
              <w:pStyle w:val="ListParagraph"/>
              <w:widowControl/>
              <w:suppressLineNumbers/>
              <w:spacing w:lineRule="auto" w:line="240" w:before="0" w:after="0"/>
              <w:ind w:left="0" w:hanging="0"/>
              <w:contextualSpacing/>
              <w:jc w:val="left"/>
              <w:rPr>
                <w:i/>
                <w:i/>
                <w:iCs/>
                <w:color w:val="FF0000"/>
              </w:rPr>
            </w:pPr>
            <w:r>
              <w:rPr>
                <w:rFonts w:eastAsia="Calibri" w:cs=""/>
                <w:b/>
                <w:bCs/>
                <w:i/>
                <w:iCs/>
                <w:color w:val="FF0000"/>
                <w:kern w:val="0"/>
                <w:szCs w:val="22"/>
                <w:lang w:val="fr-FR" w:eastAsia="en-US" w:bidi="ar-SA"/>
              </w:rPr>
              <w:t>13.</w:t>
            </w:r>
            <w:r>
              <w:rPr>
                <w:rFonts w:eastAsia="Calibri" w:cs=""/>
                <w:i/>
                <w:iCs/>
                <w:color w:val="FF0000"/>
                <w:kern w:val="0"/>
                <w:szCs w:val="22"/>
                <w:lang w:val="fr-FR" w:eastAsia="en-US" w:bidi="ar-SA"/>
              </w:rPr>
              <w:t xml:space="preserve"> De la molécule au médicament </w:t>
            </w:r>
            <w:r>
              <w:rPr>
                <w:rFonts w:eastAsia="Calibri" w:cs=""/>
                <w:b/>
                <w:bCs/>
                <w:i/>
                <w:iCs/>
                <w:color w:val="FF0000"/>
                <w:kern w:val="0"/>
                <w:szCs w:val="22"/>
                <w:lang w:val="fr-FR" w:eastAsia="en-US" w:bidi="ar-SA"/>
              </w:rPr>
              <w:t>(après examen)</w:t>
            </w:r>
          </w:p>
          <w:p>
            <w:pPr>
              <w:pStyle w:val="ListParagraph"/>
              <w:widowControl/>
              <w:suppressLineNumbers/>
              <w:spacing w:lineRule="auto" w:line="240" w:before="0" w:after="0"/>
              <w:ind w:left="0" w:hanging="0"/>
              <w:contextualSpacing/>
              <w:jc w:val="left"/>
              <w:rPr>
                <w:i/>
                <w:i/>
                <w:iCs/>
                <w:color w:val="FF0000"/>
              </w:rPr>
            </w:pPr>
            <w:r>
              <w:rPr>
                <w:rFonts w:eastAsia="Calibri" w:cs=""/>
                <w:b/>
                <w:bCs/>
                <w:i/>
                <w:iCs/>
                <w:color w:val="FF0000"/>
                <w:kern w:val="0"/>
                <w:szCs w:val="22"/>
                <w:lang w:val="fr-FR" w:eastAsia="en-US" w:bidi="ar-SA"/>
              </w:rPr>
              <w:t>14.</w:t>
            </w:r>
            <w:r>
              <w:rPr>
                <w:rFonts w:eastAsia="Calibri" w:cs=""/>
                <w:i/>
                <w:iCs/>
                <w:color w:val="FF0000"/>
                <w:kern w:val="0"/>
                <w:szCs w:val="22"/>
                <w:lang w:val="fr-FR" w:eastAsia="en-US" w:bidi="ar-SA"/>
              </w:rPr>
              <w:t xml:space="preserve"> Usage responsable des produits cosmétiques</w:t>
            </w:r>
          </w:p>
          <w:p>
            <w:pPr>
              <w:pStyle w:val="Normal"/>
              <w:widowControl/>
              <w:spacing w:lineRule="auto" w:line="240" w:before="0" w:after="0"/>
              <w:jc w:val="left"/>
              <w:rPr>
                <w:b/>
                <w:b/>
                <w:bCs/>
                <w:i/>
                <w:i/>
                <w:iCs/>
                <w:color w:val="FF0000"/>
              </w:rPr>
            </w:pPr>
            <w:r>
              <w:rPr>
                <w:rFonts w:eastAsia="Calibri" w:cs=""/>
                <w:b/>
                <w:bCs/>
                <w:i/>
                <w:iCs/>
                <w:color w:val="FF0000"/>
                <w:kern w:val="0"/>
                <w:szCs w:val="22"/>
                <w:lang w:val="fr-FR" w:eastAsia="en-US" w:bidi="ar-SA"/>
              </w:rPr>
              <w:t>(après examen)</w:t>
            </w:r>
          </w:p>
          <w:p>
            <w:pPr>
              <w:pStyle w:val="Normal"/>
              <w:widowControl/>
              <w:spacing w:lineRule="auto" w:line="240" w:before="0" w:after="0"/>
              <w:jc w:val="left"/>
              <w:rPr>
                <w:b/>
                <w:b/>
                <w:bCs/>
                <w:i/>
                <w:i/>
                <w:iCs/>
                <w:color w:val="FF0000"/>
              </w:rPr>
            </w:pPr>
            <w:r>
              <w:rPr>
                <w:rFonts w:eastAsia="Calibri" w:cs=""/>
                <w:b/>
                <w:bCs/>
                <w:i/>
                <w:iCs/>
                <w:color w:val="FF0000"/>
                <w:kern w:val="0"/>
                <w:szCs w:val="22"/>
                <w:lang w:val="fr-FR" w:eastAsia="en-US" w:bidi="ar-SA"/>
              </w:rPr>
              <w:t>15.</w:t>
            </w:r>
            <w:r>
              <w:rPr>
                <w:rFonts w:eastAsia="Calibri" w:cs=""/>
                <w:i/>
                <w:iCs/>
                <w:color w:val="FF0000"/>
                <w:kern w:val="0"/>
                <w:szCs w:val="22"/>
                <w:lang w:val="fr-FR" w:eastAsia="en-US" w:bidi="ar-SA"/>
              </w:rPr>
              <w:t xml:space="preserve"> Enjeux sanitaires et composition des milieux naturels </w:t>
            </w:r>
            <w:r>
              <w:rPr>
                <w:rFonts w:eastAsia="Calibri" w:cs=""/>
                <w:b/>
                <w:bCs/>
                <w:i/>
                <w:iCs/>
                <w:color w:val="FF0000"/>
                <w:kern w:val="0"/>
                <w:szCs w:val="22"/>
                <w:lang w:val="fr-FR" w:eastAsia="en-US" w:bidi="ar-SA"/>
              </w:rPr>
              <w:t>(après examen)</w:t>
            </w:r>
          </w:p>
        </w:tc>
      </w:tr>
    </w:tbl>
    <w:p>
      <w:pPr>
        <w:sectPr>
          <w:footerReference w:type="default" r:id="rId3"/>
          <w:type w:val="continuous"/>
          <w:pgSz w:w="11906" w:h="16838"/>
          <w:pgMar w:left="1021" w:right="849" w:header="0" w:top="709" w:footer="567" w:bottom="851" w:gutter="0"/>
          <w:pgNumType w:fmt="decimal"/>
          <w:formProt w:val="false"/>
          <w:textDirection w:val="lrTb"/>
          <w:docGrid w:type="default" w:linePitch="360" w:charSpace="4096"/>
        </w:sectPr>
      </w:pPr>
    </w:p>
    <w:p>
      <w:pPr>
        <w:pStyle w:val="Normal"/>
        <w:spacing w:lineRule="auto" w:line="240" w:before="0" w:after="0"/>
        <w:rPr>
          <w:b/>
          <w:b/>
          <w:bCs/>
          <w:u w:val="single"/>
        </w:rPr>
      </w:pPr>
      <w:r>
        <w:rPr>
          <w:b/>
          <w:bCs/>
          <w:u w:val="single"/>
        </w:rPr>
      </w:r>
    </w:p>
    <w:p>
      <w:pPr>
        <w:pStyle w:val="Normal"/>
        <w:spacing w:lineRule="auto" w:line="240" w:before="0" w:after="0"/>
        <w:jc w:val="center"/>
        <w:rPr>
          <w:b/>
          <w:b/>
          <w:bCs/>
          <w:color w:val="FF0000"/>
          <w:sz w:val="32"/>
          <w:szCs w:val="32"/>
        </w:rPr>
      </w:pPr>
      <w:r>
        <w:rPr>
          <w:b/>
          <w:bCs/>
          <w:color w:val="FF0000"/>
          <w:sz w:val="32"/>
          <w:szCs w:val="32"/>
        </w:rPr>
        <w:t>Modification du programme de Chimie pour l’examen</w:t>
      </w:r>
    </w:p>
    <w:p>
      <w:pPr>
        <w:pStyle w:val="Normal"/>
        <w:spacing w:lineRule="auto" w:line="240" w:before="0" w:after="0"/>
        <w:jc w:val="center"/>
        <w:rPr>
          <w:b/>
          <w:b/>
          <w:bCs/>
          <w:u w:val="single"/>
        </w:rPr>
      </w:pPr>
      <w:r>
        <w:rPr/>
      </w:r>
    </w:p>
    <w:p>
      <w:pPr>
        <w:pStyle w:val="Normal"/>
        <w:spacing w:lineRule="auto" w:line="240" w:before="0" w:after="0"/>
        <w:jc w:val="center"/>
        <w:rPr>
          <w:b/>
          <w:b/>
          <w:bCs/>
          <w:u w:val="single"/>
        </w:rPr>
      </w:pPr>
      <w:r>
        <w:rPr/>
      </w:r>
    </w:p>
    <w:p>
      <w:pPr>
        <w:pStyle w:val="Normal"/>
        <w:spacing w:lineRule="auto" w:line="240" w:before="0" w:after="0"/>
        <w:jc w:val="center"/>
        <w:rPr>
          <w:rFonts w:ascii="Arial" w:hAnsi="Arial" w:cs="Arial"/>
          <w:color w:val="222222"/>
          <w:shd w:fill="FFFFFF" w:val="clear"/>
        </w:rPr>
      </w:pPr>
      <w:hyperlink r:id="rId4">
        <w:r>
          <w:rPr>
            <w:rStyle w:val="LienInternet"/>
            <w:rFonts w:cs="Arial" w:ascii="Arial" w:hAnsi="Arial"/>
            <w:shd w:fill="FFFFFF" w:val="clear"/>
          </w:rPr>
          <w:t>https://www.education.gouv.fr/bo/20/Special7/MENE2019310N.htm</w:t>
        </w:r>
      </w:hyperlink>
    </w:p>
    <w:p>
      <w:pPr>
        <w:pStyle w:val="Normal"/>
        <w:spacing w:lineRule="auto" w:line="240" w:before="0" w:after="0"/>
        <w:jc w:val="center"/>
        <w:rPr>
          <w:rFonts w:cs="Calibri" w:cstheme="minorHAnsi"/>
          <w:color w:val="222222"/>
          <w:shd w:fill="FFFFFF" w:val="clear"/>
        </w:rPr>
      </w:pPr>
      <w:r>
        <w:rPr>
          <w:rFonts w:cs="Calibri" w:cstheme="minorHAnsi"/>
          <w:color w:val="222222"/>
          <w:shd w:fill="FFFFFF" w:val="clear"/>
        </w:rPr>
      </w:r>
    </w:p>
    <w:p>
      <w:pPr>
        <w:pStyle w:val="Normal"/>
        <w:spacing w:lineRule="auto" w:line="240" w:before="0" w:after="0"/>
        <w:jc w:val="center"/>
        <w:rPr>
          <w:rFonts w:cs="Calibri" w:cstheme="minorHAnsi"/>
          <w:color w:val="222222"/>
          <w:shd w:fill="FFFFFF" w:val="clear"/>
        </w:rPr>
      </w:pPr>
      <w:r>
        <w:rPr>
          <w:rFonts w:cs="Calibri" w:cstheme="minorHAnsi"/>
          <w:color w:val="222222"/>
          <w:shd w:fill="FFFFFF" w:val="clear"/>
        </w:rPr>
      </w:r>
    </w:p>
    <w:p>
      <w:pPr>
        <w:pStyle w:val="NormalWeb"/>
        <w:spacing w:beforeAutospacing="0" w:before="0" w:afterAutospacing="0" w:after="0"/>
        <w:jc w:val="both"/>
        <w:rPr>
          <w:rFonts w:ascii="Calibri" w:hAnsi="Calibri" w:cs="Calibri"/>
          <w:sz w:val="22"/>
          <w:szCs w:val="22"/>
        </w:rPr>
      </w:pPr>
      <w:r>
        <w:rPr>
          <w:rFonts w:cs="Calibri" w:ascii="Calibri" w:hAnsi="Calibri"/>
          <w:sz w:val="22"/>
          <w:szCs w:val="22"/>
        </w:rPr>
        <w:t>La note de service n° 2020-013 du 11 février 2020 relative aux épreuves des enseignements de spécialité dans la série sciences et technologies de la santé et du social (ST2S) à compter de la session 2021 de l'examen du baccalauréat est modifiée comme suit :</w:t>
      </w:r>
    </w:p>
    <w:p>
      <w:pPr>
        <w:pStyle w:val="NormalWeb"/>
        <w:spacing w:beforeAutospacing="0" w:before="0" w:afterAutospacing="0" w:after="0"/>
        <w:jc w:val="both"/>
        <w:rPr>
          <w:rFonts w:ascii="Calibri" w:hAnsi="Calibri" w:cs="Calibri"/>
          <w:sz w:val="22"/>
          <w:szCs w:val="22"/>
        </w:rPr>
      </w:pPr>
      <w:r>
        <w:rPr>
          <w:rFonts w:cs="Calibri" w:ascii="Calibri" w:hAnsi="Calibri"/>
          <w:sz w:val="22"/>
          <w:szCs w:val="22"/>
        </w:rPr>
      </w:r>
    </w:p>
    <w:p>
      <w:pPr>
        <w:pStyle w:val="NormalWeb"/>
        <w:spacing w:beforeAutospacing="0" w:before="0" w:afterAutospacing="0" w:after="0"/>
        <w:jc w:val="both"/>
        <w:rPr>
          <w:rFonts w:ascii="Calibri" w:hAnsi="Calibri" w:cs="Calibri"/>
          <w:sz w:val="22"/>
          <w:szCs w:val="22"/>
        </w:rPr>
      </w:pPr>
      <w:r>
        <w:rPr>
          <w:rFonts w:cs="Calibri" w:ascii="Calibri" w:hAnsi="Calibri"/>
          <w:sz w:val="22"/>
          <w:szCs w:val="22"/>
        </w:rPr>
        <w:t>À la partie « Chimie », de l'épreuve de « Chimie, biologie et physiopathologies humaines », le paragraphe de la partie « objectifs » rédigé comme suit :</w:t>
      </w:r>
    </w:p>
    <w:p>
      <w:pPr>
        <w:pStyle w:val="NormalWeb"/>
        <w:spacing w:beforeAutospacing="0" w:before="0" w:afterAutospacing="0" w:after="0"/>
        <w:jc w:val="both"/>
        <w:rPr>
          <w:rFonts w:ascii="Calibri" w:hAnsi="Calibri" w:cs="Calibri" w:asciiTheme="minorHAnsi" w:cstheme="minorHAnsi" w:hAnsiTheme="minorHAnsi"/>
          <w:sz w:val="22"/>
          <w:szCs w:val="22"/>
        </w:rPr>
      </w:pPr>
      <w:r>
        <w:rPr>
          <w:rFonts w:cs="Calibri" w:ascii="Calibri" w:hAnsi="Calibri"/>
          <w:sz w:val="22"/>
          <w:szCs w:val="22"/>
        </w:rPr>
        <w:t xml:space="preserve">« La partie Chimie de l'épreuve de Chimie, biologie et physiopathologie humaines s'appuie sur les spécificités du programme de cet enseignement en classe de terminale défini dans l'arrêté du 19 juillet 2019 paru au BOEN </w:t>
      </w:r>
      <w:r>
        <w:rPr>
          <w:rFonts w:cs="Calibri" w:ascii="Calibri" w:hAnsi="Calibri" w:asciiTheme="minorHAnsi" w:cstheme="minorHAnsi" w:hAnsiTheme="minorHAnsi"/>
          <w:sz w:val="22"/>
          <w:szCs w:val="22"/>
        </w:rPr>
        <w:t>spécial n° 8 du 25 juillet 2019, couvrant les thèmes 1 et 2 et la partie du thème 3 intitulée « Le rôle des biomolécules et des oligoéléments dans l'organisme pour une alimentation responsable » délestée de la question des additifs alimentaires. L'épreuve peut mobiliser, lorsque le thème scientifique s'y prête, le programme de l'enseignement de spécialité physique-chimie pour la santé de la classe de première, défini dans l'arrêté du 17 janvier 2019 paru au BOEN spécial n° 1 du 22 janvier 2019, sans qu'il soit le support exclusif du sujet. »</w:t>
      </w:r>
    </w:p>
    <w:p>
      <w:pPr>
        <w:pStyle w:val="NormalWeb"/>
        <w:spacing w:beforeAutospacing="0" w:before="0" w:afterAutospacing="0" w:after="0"/>
        <w:jc w:val="both"/>
        <w:rPr>
          <w:rFonts w:ascii="Calibri" w:hAnsi="Calibri" w:cs="Calibri" w:asciiTheme="minorHAnsi" w:cstheme="minorHAnsi" w:hAnsiTheme="minorHAnsi"/>
          <w:color w:val="FF0000"/>
          <w:sz w:val="22"/>
          <w:szCs w:val="22"/>
        </w:rPr>
      </w:pPr>
      <w:r>
        <w:rPr>
          <w:rFonts w:cs="Calibri" w:cstheme="minorHAnsi" w:ascii="Calibri" w:hAnsi="Calibri"/>
          <w:color w:val="FF0000"/>
          <w:sz w:val="22"/>
          <w:szCs w:val="22"/>
        </w:rPr>
      </w:r>
    </w:p>
    <w:p>
      <w:pPr>
        <w:pStyle w:val="NormalWeb"/>
        <w:spacing w:beforeAutospacing="0" w:before="0" w:afterAutospacing="0" w:after="0"/>
        <w:jc w:val="both"/>
        <w:rPr>
          <w:rFonts w:ascii="Calibri" w:hAnsi="Calibri" w:cs="Calibri" w:asciiTheme="minorHAnsi" w:cstheme="minorHAnsi" w:hAnsiTheme="minorHAnsi"/>
          <w:color w:val="FF0000"/>
          <w:sz w:val="22"/>
          <w:szCs w:val="22"/>
        </w:rPr>
      </w:pPr>
      <w:r>
        <w:rPr>
          <w:rFonts w:cs="Calibri" w:cstheme="minorHAnsi" w:ascii="Calibri" w:hAnsi="Calibri"/>
          <w:color w:val="FF0000"/>
          <w:sz w:val="22"/>
          <w:szCs w:val="22"/>
        </w:rPr>
      </w:r>
    </w:p>
    <w:p>
      <w:pPr>
        <w:pStyle w:val="NormalWeb"/>
        <w:spacing w:beforeAutospacing="0" w:before="0" w:afterAutospacing="0" w:after="0"/>
        <w:jc w:val="both"/>
        <w:rPr>
          <w:rFonts w:ascii="Calibri" w:hAnsi="Calibri" w:cs="Calibri" w:asciiTheme="minorHAnsi" w:cstheme="minorHAnsi" w:hAnsiTheme="minorHAnsi"/>
          <w:color w:val="FF0000"/>
          <w:sz w:val="22"/>
          <w:szCs w:val="22"/>
        </w:rPr>
      </w:pPr>
      <w:r>
        <w:rPr>
          <w:rFonts w:cs="Calibri" w:ascii="Calibri" w:hAnsi="Calibri" w:asciiTheme="minorHAnsi" w:cstheme="minorHAnsi" w:hAnsiTheme="minorHAnsi"/>
          <w:color w:val="FF0000"/>
          <w:sz w:val="22"/>
          <w:szCs w:val="22"/>
        </w:rPr>
        <w:t>Est remplacé par le paragraphe rédigé comme suit :</w:t>
      </w:r>
    </w:p>
    <w:p>
      <w:pPr>
        <w:pStyle w:val="NormalWeb"/>
        <w:spacing w:beforeAutospacing="0" w:before="0" w:afterAutospacing="0" w:after="0"/>
        <w:jc w:val="both"/>
        <w:rPr>
          <w:rFonts w:ascii="Arial" w:hAnsi="Arial" w:cs="Arial"/>
          <w:color w:val="FF0000"/>
          <w:sz w:val="21"/>
          <w:szCs w:val="21"/>
        </w:rPr>
      </w:pPr>
      <w:r>
        <w:rPr>
          <w:rFonts w:cs="Arial" w:ascii="Arial" w:hAnsi="Arial"/>
          <w:color w:val="FF0000"/>
          <w:sz w:val="21"/>
          <w:szCs w:val="21"/>
        </w:rPr>
      </w:r>
    </w:p>
    <w:p>
      <w:pPr>
        <w:pStyle w:val="NormalWeb"/>
        <w:spacing w:beforeAutospacing="0" w:before="0" w:afterAutospacing="0" w:after="0"/>
        <w:jc w:val="both"/>
        <w:rPr>
          <w:rFonts w:ascii="Arial" w:hAnsi="Arial" w:cs="Arial"/>
          <w:color w:val="FF0000"/>
          <w:sz w:val="21"/>
          <w:szCs w:val="21"/>
        </w:rPr>
      </w:pPr>
      <w:r>
        <w:rPr>
          <w:rFonts w:cs="Arial" w:ascii="Arial" w:hAnsi="Arial"/>
          <w:color w:val="FF0000"/>
          <w:sz w:val="21"/>
          <w:szCs w:val="21"/>
        </w:rPr>
      </w:r>
    </w:p>
    <w:p>
      <w:pPr>
        <w:pStyle w:val="NormalWeb"/>
        <w:spacing w:beforeAutospacing="0" w:before="0" w:afterAutospacing="0" w:after="0"/>
        <w:jc w:val="both"/>
        <w:rPr>
          <w:rFonts w:ascii="Calibri" w:hAnsi="Calibri" w:cs="Calibri"/>
          <w:b/>
          <w:b/>
          <w:bCs/>
          <w:color w:val="FF0000"/>
          <w:sz w:val="22"/>
          <w:szCs w:val="22"/>
        </w:rPr>
      </w:pPr>
      <w:r>
        <w:rPr>
          <w:rFonts w:cs="Calibri" w:ascii="Calibri" w:hAnsi="Calibri"/>
          <w:b/>
          <w:bCs/>
          <w:color w:val="FF0000"/>
          <w:sz w:val="22"/>
          <w:szCs w:val="22"/>
        </w:rPr>
        <w:t>« La partie Chimie de l'épreuve de Chimie, biologie et physiopathologie humaines s'appuie sur les spécificités du programme de cet enseignement en classe de terminale défini dans l'arrêté du 19 juillet 2019 paru au BOEN spécial n° 8 du 25 juillet 2019, couvrant le thème 1 délesté de la question « Comment les polluants de l'air et de l'eau sont-ils gérés ? », le thème 2 délesté de la question « Quels enjeux sanitaires sont révélés par l'analyse de la composition des milieux naturels ? » et le thème 3 délesté des parties « De la molécule au médicament » et « L'usage responsable des produits cosmétiques ». L'épreuve peut mobiliser, lorsque le thème scientifique s'y prête, le programme de l'enseignement de spécialité physique-chimie pour la santé de la classe de première, défini dans l'arrêté du 17 janvier 2019 paru au BOEN spécial n° 1 du 22 janvier 2019, sans qu'il soit le support exclusif du sujet.  </w:t>
      </w:r>
    </w:p>
    <w:p>
      <w:pPr>
        <w:pStyle w:val="NormalWeb"/>
        <w:spacing w:beforeAutospacing="0" w:before="0" w:afterAutospacing="0" w:after="0"/>
        <w:rPr>
          <w:rFonts w:ascii="Calibri" w:hAnsi="Calibri" w:cs="Calibri"/>
          <w:b/>
          <w:b/>
          <w:bCs/>
          <w:color w:val="FF0000"/>
          <w:sz w:val="22"/>
          <w:szCs w:val="22"/>
        </w:rPr>
      </w:pPr>
      <w:r>
        <w:rPr>
          <w:rFonts w:cs="Calibri" w:ascii="Calibri" w:hAnsi="Calibri"/>
          <w:b/>
          <w:bCs/>
          <w:color w:val="FF0000"/>
          <w:sz w:val="22"/>
          <w:szCs w:val="22"/>
        </w:rPr>
        <w:t>Ces dispositions entrent en vigueur pour la session 2021 du baccalauréat technologique.</w:t>
      </w:r>
    </w:p>
    <w:p>
      <w:pPr>
        <w:pStyle w:val="Normal"/>
        <w:spacing w:lineRule="auto" w:line="240" w:before="0" w:after="0"/>
        <w:rPr>
          <w:b/>
          <w:b/>
          <w:bCs/>
          <w:u w:val="single"/>
        </w:rPr>
      </w:pPr>
      <w:r>
        <w:rPr/>
      </w:r>
    </w:p>
    <w:sectPr>
      <w:type w:val="continuous"/>
      <w:pgSz w:w="11906" w:h="16838"/>
      <w:pgMar w:left="1021" w:right="849" w:header="0" w:top="709" w:footer="567" w:bottom="851" w:gutter="0"/>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Segoe UI">
    <w:charset w:val="00"/>
    <w:family w:val="roman"/>
    <w:pitch w:val="variable"/>
  </w:font>
  <w:font w:name="Liberation Sans">
    <w:altName w:val="Arial"/>
    <w:charset w:val="00"/>
    <w:family w:val="swiss"/>
    <w:pitch w:val="variable"/>
  </w:font>
  <w:font w:name="Liberation Sans">
    <w:altName w:val="Arial"/>
    <w:charset w:val="00"/>
    <w:family w:val="roman"/>
    <w:pitch w:val="variable"/>
  </w:font>
  <w:font w:name="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depage"/>
      <w:pBdr>
        <w:top w:val="single" w:sz="4" w:space="1" w:color="000000"/>
      </w:pBdr>
      <w:spacing w:before="0" w:after="160"/>
      <w:jc w:val="center"/>
      <w:rPr/>
    </w:pPr>
    <w:r>
      <w:rPr>
        <w:rFonts w:cs="Arial" w:ascii="Arial" w:hAnsi="Arial"/>
        <w:i/>
        <w:sz w:val="20"/>
        <w:szCs w:val="20"/>
      </w:rPr>
      <w:t xml:space="preserve">Groupe de travail Chimie – Biologie et physiopathologie humaine en Tale ST2S Nancy-Metz 2020/2021  </w:t>
    </w:r>
    <w:r>
      <w:rPr>
        <w:i/>
      </w:rPr>
      <w:t xml:space="preserve"> </w:t>
    </w:r>
    <w:r>
      <w:rPr>
        <w:i/>
      </w:rPr>
      <w:fldChar w:fldCharType="begin"/>
    </w:r>
    <w:r>
      <w:rPr>
        <w:i/>
      </w:rPr>
      <w:instrText> PAGE </w:instrText>
    </w:r>
    <w:r>
      <w:rPr>
        <w:i/>
      </w:rPr>
      <w:fldChar w:fldCharType="separate"/>
    </w:r>
    <w:r>
      <w:rPr>
        <w:i/>
      </w:rPr>
      <w:t>4</w:t>
    </w:r>
    <w:r>
      <w:rPr>
        <w:i/>
      </w:rPr>
      <w:fldChar w:fldCharType="end"/>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depage"/>
      <w:pBdr>
        <w:top w:val="single" w:sz="4" w:space="1" w:color="000000"/>
      </w:pBdr>
      <w:spacing w:before="0" w:after="160"/>
      <w:jc w:val="center"/>
      <w:rPr/>
    </w:pPr>
    <w:r>
      <w:rPr>
        <w:rFonts w:cs="Arial" w:ascii="Arial" w:hAnsi="Arial"/>
        <w:i/>
        <w:sz w:val="20"/>
        <w:szCs w:val="20"/>
      </w:rPr>
      <w:t xml:space="preserve">Groupe de travail Chimie – Biologie et physiopathologie humaine en Tale ST2S Nancy-Metz 2020/2021  </w:t>
    </w:r>
    <w:r>
      <w:rPr>
        <w:i/>
      </w:rPr>
      <w:t xml:space="preserve"> </w:t>
    </w:r>
    <w:r>
      <w:rPr>
        <w:i/>
      </w:rPr>
      <w:fldChar w:fldCharType="begin"/>
    </w:r>
    <w:r>
      <w:rPr>
        <w:i/>
      </w:rPr>
      <w:instrText> PAGE </w:instrText>
    </w:r>
    <w:r>
      <w:rPr>
        <w:i/>
      </w:rPr>
      <w:fldChar w:fldCharType="separate"/>
    </w:r>
    <w:r>
      <w:rPr>
        <w:i/>
      </w:rPr>
      <w:t>4</w:t>
    </w:r>
    <w:r>
      <w:rPr>
        <w:i/>
      </w:rPr>
      <w:fldChar w:fldCharType="end"/>
    </w:r>
  </w:p>
</w:ftr>
</file>

<file path=word/settings.xml><?xml version="1.0" encoding="utf-8"?>
<w:settings xmlns:w="http://schemas.openxmlformats.org/wordprocessingml/2006/main">
  <w:zoom w:percent="110"/>
  <w:defaultTabStop w:val="709"/>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hyphenationZone w:val="425"/>
  <w:themeFontLang w:val="fr-F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fr-FR"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0"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fr-FR" w:eastAsia="en-US" w:bidi="ar-SA"/>
    </w:rPr>
  </w:style>
  <w:style w:type="character" w:styleId="DefaultParagraphFont" w:default="1">
    <w:name w:val="Default Paragraph Font"/>
    <w:uiPriority w:val="1"/>
    <w:semiHidden/>
    <w:unhideWhenUsed/>
    <w:qFormat/>
    <w:rPr/>
  </w:style>
  <w:style w:type="character" w:styleId="CommentaireCar" w:customStyle="1">
    <w:name w:val="Commentaire Car"/>
    <w:basedOn w:val="DefaultParagraphFont"/>
    <w:link w:val="Commentaire"/>
    <w:uiPriority w:val="99"/>
    <w:semiHidden/>
    <w:qFormat/>
    <w:rPr>
      <w:szCs w:val="20"/>
    </w:rPr>
  </w:style>
  <w:style w:type="character" w:styleId="Annotationreference">
    <w:name w:val="annotation reference"/>
    <w:basedOn w:val="DefaultParagraphFont"/>
    <w:uiPriority w:val="99"/>
    <w:semiHidden/>
    <w:unhideWhenUsed/>
    <w:qFormat/>
    <w:rPr>
      <w:sz w:val="16"/>
      <w:szCs w:val="16"/>
    </w:rPr>
  </w:style>
  <w:style w:type="character" w:styleId="TextedebullesCar" w:customStyle="1">
    <w:name w:val="Texte de bulles Car"/>
    <w:basedOn w:val="DefaultParagraphFont"/>
    <w:link w:val="Textedebulles"/>
    <w:uiPriority w:val="99"/>
    <w:semiHidden/>
    <w:qFormat/>
    <w:rsid w:val="00d41bcc"/>
    <w:rPr>
      <w:rFonts w:ascii="Segoe UI" w:hAnsi="Segoe UI" w:cs="Segoe UI"/>
      <w:sz w:val="18"/>
      <w:szCs w:val="18"/>
    </w:rPr>
  </w:style>
  <w:style w:type="character" w:styleId="EntteCar" w:customStyle="1">
    <w:name w:val="En-tête Car"/>
    <w:basedOn w:val="DefaultParagraphFont"/>
    <w:link w:val="En-tte"/>
    <w:uiPriority w:val="99"/>
    <w:qFormat/>
    <w:rsid w:val="001f0202"/>
    <w:rPr>
      <w:sz w:val="22"/>
    </w:rPr>
  </w:style>
  <w:style w:type="character" w:styleId="PieddepageCar" w:customStyle="1">
    <w:name w:val="Pied de page Car"/>
    <w:basedOn w:val="DefaultParagraphFont"/>
    <w:link w:val="Pieddepage"/>
    <w:qFormat/>
    <w:rsid w:val="001f0202"/>
    <w:rPr>
      <w:sz w:val="22"/>
    </w:rPr>
  </w:style>
  <w:style w:type="character" w:styleId="LienInternet">
    <w:name w:val="Lien Internet"/>
    <w:basedOn w:val="DefaultParagraphFont"/>
    <w:uiPriority w:val="99"/>
    <w:unhideWhenUsed/>
    <w:rsid w:val="006c3a5e"/>
    <w:rPr>
      <w:color w:val="0563C1" w:themeColor="hyperlink"/>
      <w:u w:val="single"/>
    </w:rPr>
  </w:style>
  <w:style w:type="character" w:styleId="UnresolvedMention">
    <w:name w:val="Unresolved Mention"/>
    <w:basedOn w:val="DefaultParagraphFont"/>
    <w:uiPriority w:val="99"/>
    <w:semiHidden/>
    <w:unhideWhenUsed/>
    <w:qFormat/>
    <w:rsid w:val="006c3a5e"/>
    <w:rPr>
      <w:color w:val="605E5C"/>
      <w:shd w:fill="E1DFDD" w:val="clear"/>
    </w:rPr>
  </w:style>
  <w:style w:type="paragraph" w:styleId="Titre">
    <w:name w:val="Titre"/>
    <w:basedOn w:val="Normal"/>
    <w:next w:val="Corpsdetexte"/>
    <w:qFormat/>
    <w:pPr>
      <w:keepNext w:val="true"/>
      <w:spacing w:before="240" w:after="120"/>
    </w:pPr>
    <w:rPr>
      <w:rFonts w:ascii="Liberation Sans" w:hAnsi="Liberation Sans" w:eastAsia="Microsoft YaHei" w:cs="Arial"/>
      <w:sz w:val="28"/>
      <w:szCs w:val="28"/>
    </w:rPr>
  </w:style>
  <w:style w:type="paragraph" w:styleId="Corpsdetexte">
    <w:name w:val="Body Text"/>
    <w:basedOn w:val="Normal"/>
    <w:pPr>
      <w:spacing w:lineRule="auto" w:line="276" w:before="0" w:after="140"/>
    </w:pPr>
    <w:rPr/>
  </w:style>
  <w:style w:type="paragraph" w:styleId="Liste">
    <w:name w:val="List"/>
    <w:basedOn w:val="Corpsdetexte"/>
    <w:pPr/>
    <w:rPr>
      <w:rFonts w:cs="Arial"/>
    </w:rPr>
  </w:style>
  <w:style w:type="paragraph" w:styleId="Lgende">
    <w:name w:val="Caption"/>
    <w:basedOn w:val="Normal"/>
    <w:qFormat/>
    <w:pPr>
      <w:suppressLineNumbers/>
      <w:spacing w:before="120" w:after="120"/>
    </w:pPr>
    <w:rPr>
      <w:rFonts w:cs="Arial"/>
      <w:i/>
      <w:iCs/>
      <w:sz w:val="24"/>
      <w:szCs w:val="24"/>
    </w:rPr>
  </w:style>
  <w:style w:type="paragraph" w:styleId="Index" w:customStyle="1">
    <w:name w:val="Index"/>
    <w:basedOn w:val="Normal"/>
    <w:qFormat/>
    <w:pPr>
      <w:suppressLineNumbers/>
    </w:pPr>
    <w:rPr>
      <w:rFonts w:cs="Arial"/>
    </w:rPr>
  </w:style>
  <w:style w:type="paragraph" w:styleId="Titreprincipal">
    <w:name w:val="Title"/>
    <w:basedOn w:val="Normal"/>
    <w:next w:val="Corpsdetexte"/>
    <w:qFormat/>
    <w:pPr>
      <w:keepNext w:val="true"/>
      <w:spacing w:before="240" w:after="120"/>
    </w:pPr>
    <w:rPr>
      <w:rFonts w:ascii="Liberation Sans" w:hAnsi="Liberation Sans" w:eastAsia="Microsoft YaHei" w:cs="Arial"/>
      <w:sz w:val="28"/>
      <w:szCs w:val="28"/>
    </w:rPr>
  </w:style>
  <w:style w:type="paragraph" w:styleId="Caption">
    <w:name w:val="caption"/>
    <w:basedOn w:val="Normal"/>
    <w:qFormat/>
    <w:pPr>
      <w:suppressLineNumbers/>
      <w:spacing w:before="120" w:after="120"/>
    </w:pPr>
    <w:rPr>
      <w:rFonts w:cs="Arial"/>
      <w:i/>
      <w:iCs/>
      <w:sz w:val="24"/>
      <w:szCs w:val="24"/>
    </w:rPr>
  </w:style>
  <w:style w:type="paragraph" w:styleId="ListParagraph">
    <w:name w:val="List Paragraph"/>
    <w:basedOn w:val="Normal"/>
    <w:uiPriority w:val="34"/>
    <w:qFormat/>
    <w:rsid w:val="00467b41"/>
    <w:pPr>
      <w:spacing w:before="0" w:after="160"/>
      <w:ind w:left="720" w:hanging="0"/>
      <w:contextualSpacing/>
    </w:pPr>
    <w:rPr/>
  </w:style>
  <w:style w:type="paragraph" w:styleId="Contenudetableau" w:customStyle="1">
    <w:name w:val="Contenu de tableau"/>
    <w:basedOn w:val="Normal"/>
    <w:qFormat/>
    <w:pPr>
      <w:suppressLineNumbers/>
    </w:pPr>
    <w:rPr/>
  </w:style>
  <w:style w:type="paragraph" w:styleId="Entteetpieddepage" w:customStyle="1">
    <w:name w:val="En-tête et pied de page"/>
    <w:basedOn w:val="Normal"/>
    <w:qFormat/>
    <w:pPr>
      <w:suppressLineNumbers/>
      <w:tabs>
        <w:tab w:val="clear" w:pos="709"/>
        <w:tab w:val="center" w:pos="4536" w:leader="none"/>
        <w:tab w:val="right" w:pos="9072" w:leader="none"/>
      </w:tabs>
    </w:pPr>
    <w:rPr/>
  </w:style>
  <w:style w:type="paragraph" w:styleId="Pieddepage">
    <w:name w:val="Footer"/>
    <w:basedOn w:val="Entteetpieddepage"/>
    <w:link w:val="PieddepageCar"/>
    <w:pPr/>
    <w:rPr/>
  </w:style>
  <w:style w:type="paragraph" w:styleId="Annotationtext">
    <w:name w:val="annotation text"/>
    <w:basedOn w:val="Normal"/>
    <w:link w:val="CommentaireCar"/>
    <w:uiPriority w:val="99"/>
    <w:semiHidden/>
    <w:unhideWhenUsed/>
    <w:qFormat/>
    <w:pPr>
      <w:spacing w:lineRule="auto" w:line="240"/>
    </w:pPr>
    <w:rPr>
      <w:sz w:val="20"/>
      <w:szCs w:val="20"/>
    </w:rPr>
  </w:style>
  <w:style w:type="paragraph" w:styleId="BalloonText">
    <w:name w:val="Balloon Text"/>
    <w:basedOn w:val="Normal"/>
    <w:link w:val="TextedebullesCar"/>
    <w:uiPriority w:val="99"/>
    <w:semiHidden/>
    <w:unhideWhenUsed/>
    <w:qFormat/>
    <w:rsid w:val="00d41bcc"/>
    <w:pPr>
      <w:spacing w:lineRule="auto" w:line="240" w:before="0" w:after="0"/>
    </w:pPr>
    <w:rPr>
      <w:rFonts w:ascii="Segoe UI" w:hAnsi="Segoe UI" w:cs="Segoe UI"/>
      <w:sz w:val="18"/>
      <w:szCs w:val="18"/>
    </w:rPr>
  </w:style>
  <w:style w:type="paragraph" w:styleId="Titredetableau" w:customStyle="1">
    <w:name w:val="Titre de tableau"/>
    <w:basedOn w:val="Contenudetableau"/>
    <w:qFormat/>
    <w:pPr>
      <w:jc w:val="center"/>
    </w:pPr>
    <w:rPr>
      <w:b/>
      <w:bCs/>
    </w:rPr>
  </w:style>
  <w:style w:type="paragraph" w:styleId="Entte">
    <w:name w:val="Header"/>
    <w:basedOn w:val="Normal"/>
    <w:link w:val="En-tteCar"/>
    <w:uiPriority w:val="99"/>
    <w:unhideWhenUsed/>
    <w:rsid w:val="001f0202"/>
    <w:pPr>
      <w:tabs>
        <w:tab w:val="clear" w:pos="709"/>
        <w:tab w:val="center" w:pos="4536" w:leader="none"/>
        <w:tab w:val="right" w:pos="9072" w:leader="none"/>
      </w:tabs>
      <w:spacing w:lineRule="auto" w:line="240" w:before="0" w:after="0"/>
    </w:pPr>
    <w:rPr/>
  </w:style>
  <w:style w:type="paragraph" w:styleId="NormalWeb">
    <w:name w:val="Normal (Web)"/>
    <w:basedOn w:val="Normal"/>
    <w:uiPriority w:val="99"/>
    <w:semiHidden/>
    <w:unhideWhenUsed/>
    <w:qFormat/>
    <w:rsid w:val="006c3a5e"/>
    <w:pPr>
      <w:spacing w:lineRule="auto" w:line="240" w:beforeAutospacing="1" w:afterAutospacing="1"/>
    </w:pPr>
    <w:rPr>
      <w:rFonts w:ascii="Times New Roman" w:hAnsi="Times New Roman" w:eastAsia="Times New Roman" w:cs="Times New Roman"/>
      <w:sz w:val="24"/>
      <w:szCs w:val="24"/>
      <w:lang w:eastAsia="fr-FR"/>
    </w:rPr>
  </w:style>
  <w:style w:type="numbering" w:styleId="NoList" w:default="1">
    <w:name w:val="No List"/>
    <w:uiPriority w:val="99"/>
    <w:semiHidden/>
    <w:unhideWhenUsed/>
    <w:qFormat/>
  </w:style>
  <w:style w:type="table" w:default="1" w:styleId="TableauNormal">
    <w:name w:val="Normal Table"/>
    <w:uiPriority w:val="99"/>
    <w:semiHidden/>
    <w:unhideWhenUsed/>
    <w:tblPr>
      <w:tblCellMar>
        <w:top w:w="0" w:type="dxa"/>
        <w:left w:w="108" w:type="dxa"/>
        <w:bottom w:w="0" w:type="dxa"/>
        <w:right w:w="108" w:type="dxa"/>
      </w:tblCellMar>
    </w:tblPr>
  </w:style>
  <w:style w:type="table" w:styleId="Grilledutableau">
    <w:name w:val="Table Grid"/>
    <w:basedOn w:val="TableauNormal"/>
    <w:uiPriority w:val="39"/>
    <w:rsid w:val="00467b41"/>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hyperlink" Target="https://www.education.gouv.fr/bo/20/Special7/MENE2019310N.htm" TargetMode="Externa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TotalTime>
  <Application>LibreOffice/7.0.0.3$Windows_X86_64 LibreOffice_project/8061b3e9204bef6b321a21033174034a5e2ea88e</Application>
  <Pages>4</Pages>
  <Words>1168</Words>
  <Characters>6178</Characters>
  <CharactersWithSpaces>7246</CharactersWithSpaces>
  <Paragraphs>123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2020-05-21T13:58:00Z</dcterms:created>
  <dc:creator>Famille</dc:creator>
  <dc:description/>
  <dc:language>fr-FR</dc:language>
  <cp:lastModifiedBy/>
  <cp:lastPrinted>2020-05-23T07:19:00Z</cp:lastPrinted>
  <dcterms:modified xsi:type="dcterms:W3CDTF">2020-11-09T16:26:27Z</dcterms:modified>
  <cp:revision>14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