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216FADFA" w:rsidR="00095ED2" w:rsidRPr="0029712B" w:rsidRDefault="00CB25C1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Ensemencement dans la masse pour un dénombrement en milieu gélosé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3E3957F4" w14:textId="77777777" w:rsidR="00CB25C1" w:rsidRDefault="00CB25C1" w:rsidP="00CB25C1">
      <w:pPr>
        <w:pStyle w:val="itemsouspartie"/>
      </w:pPr>
      <w:r>
        <w:t>Annoter les boîtes de Pétri</w:t>
      </w:r>
    </w:p>
    <w:p w14:paraId="38F003E8" w14:textId="77777777" w:rsidR="00CB25C1" w:rsidRDefault="00CB25C1" w:rsidP="00CB25C1">
      <w:pPr>
        <w:pStyle w:val="itemsouspartie"/>
      </w:pPr>
      <w:r>
        <w:t>Homogénéiser le tube contenant la suspension à ensemencer</w:t>
      </w:r>
    </w:p>
    <w:p w14:paraId="6AD2B412" w14:textId="77777777" w:rsidR="00CB25C1" w:rsidRDefault="00CB25C1" w:rsidP="00CB25C1">
      <w:pPr>
        <w:pStyle w:val="itemsouspartie"/>
      </w:pPr>
      <w:r>
        <w:t>Prélever 1 mL de produit pur ou d’une dilution (cf. FICHE Dilution en cascade), en commençant par la dilution la plus forte et en conservant la même pipette</w:t>
      </w:r>
    </w:p>
    <w:p w14:paraId="3052F9BF" w14:textId="77777777" w:rsidR="00CB25C1" w:rsidRDefault="00CB25C1" w:rsidP="00CB25C1">
      <w:pPr>
        <w:pStyle w:val="itemsouspartie"/>
      </w:pPr>
      <w:r>
        <w:t>Déposer chacun des volumes prélevés dans les boîtes de Pétri vides prévues sous forme de gouttes sur l’intégralité de la surface de la boîte en zone d’asepsie</w:t>
      </w:r>
    </w:p>
    <w:p w14:paraId="7A43DABE" w14:textId="77777777" w:rsidR="00CB25C1" w:rsidRDefault="00CB25C1" w:rsidP="00CB25C1">
      <w:pPr>
        <w:pStyle w:val="itemsouspartie"/>
      </w:pPr>
      <w:r>
        <w:rPr>
          <w:bCs/>
        </w:rPr>
        <w:t>Verser</w:t>
      </w:r>
      <w:r>
        <w:rPr>
          <w:b/>
        </w:rPr>
        <w:t xml:space="preserve"> </w:t>
      </w:r>
      <w:r>
        <w:t>la gélose en surfusion refroidie dans la boîte, sur les gouttes</w:t>
      </w:r>
    </w:p>
    <w:p w14:paraId="182B9A5F" w14:textId="77777777" w:rsidR="00CB25C1" w:rsidRDefault="00CB25C1" w:rsidP="00CB25C1">
      <w:pPr>
        <w:pStyle w:val="itemsouspartie"/>
      </w:pPr>
      <w:r>
        <w:t>Mélanger immédiatement, la boîte bien à plat, par des mouvements lents (former des 8)</w:t>
      </w:r>
    </w:p>
    <w:p w14:paraId="5BCDDEFD" w14:textId="77777777" w:rsidR="00CB25C1" w:rsidRDefault="00CB25C1" w:rsidP="00CB25C1">
      <w:pPr>
        <w:pStyle w:val="itemsouspartie"/>
      </w:pPr>
      <w:r>
        <w:t>Laisser refroidir et solidifier la gélose, couvercle entrouvert dans la zone d’asepsie du bec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42020126" w14:textId="77777777" w:rsidR="00CB25C1" w:rsidRDefault="00CB25C1" w:rsidP="00CB25C1">
      <w:pPr>
        <w:pStyle w:val="itemsouspartie"/>
      </w:pPr>
      <w:r>
        <w:t>Boîtes non annotées</w:t>
      </w:r>
    </w:p>
    <w:p w14:paraId="61F2E259" w14:textId="0323043B" w:rsidR="00CB25C1" w:rsidRDefault="00CB25C1" w:rsidP="00CB25C1">
      <w:pPr>
        <w:pStyle w:val="itemsouspartie"/>
      </w:pPr>
      <w:r>
        <w:t>Oubli</w:t>
      </w:r>
      <w:r>
        <w:t xml:space="preserve"> d’homogénéisation de la suspension et des géloses</w:t>
      </w:r>
    </w:p>
    <w:p w14:paraId="3DE25E7A" w14:textId="4F3324D9" w:rsidR="00CB25C1" w:rsidRDefault="00CB25C1" w:rsidP="00CB25C1">
      <w:pPr>
        <w:pStyle w:val="itemsouspartie"/>
      </w:pPr>
      <w:r>
        <w:t>Erreur</w:t>
      </w:r>
      <w:r>
        <w:t xml:space="preserve"> d’asepsie</w:t>
      </w:r>
    </w:p>
    <w:p w14:paraId="304F489C" w14:textId="77777777" w:rsidR="00CB25C1" w:rsidRDefault="00CB25C1" w:rsidP="00CB25C1">
      <w:pPr>
        <w:pStyle w:val="itemsouspartie"/>
      </w:pPr>
      <w:r>
        <w:t>Erreur sur le volume prélevé</w:t>
      </w:r>
    </w:p>
    <w:p w14:paraId="6CA15DCA" w14:textId="77777777" w:rsidR="00CB25C1" w:rsidRDefault="00CB25C1" w:rsidP="00CB25C1">
      <w:pPr>
        <w:pStyle w:val="itemsouspartie"/>
      </w:pPr>
      <w:r>
        <w:t>Gélose trop chaude ou trop froide</w:t>
      </w:r>
    </w:p>
    <w:p w14:paraId="0597F56A" w14:textId="77777777" w:rsidR="00CB25C1" w:rsidRDefault="00CB25C1" w:rsidP="00CB25C1">
      <w:pPr>
        <w:pStyle w:val="itemsouspartie"/>
      </w:pPr>
      <w:r>
        <w:t>Mauvaise répartition des gouttes</w:t>
      </w:r>
    </w:p>
    <w:p w14:paraId="31AE8DB2" w14:textId="77777777" w:rsidR="00CB25C1" w:rsidRDefault="00CB25C1" w:rsidP="00CB25C1">
      <w:pPr>
        <w:pStyle w:val="itemsouspartie"/>
      </w:pPr>
      <w:r>
        <w:t>Ensemencer de la dilution la plus faible à la plus forte avec la même pipette/paille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  <w:bookmarkStart w:id="0" w:name="_GoBack"/>
      <w:bookmarkEnd w:id="0"/>
    </w:p>
    <w:p w14:paraId="374DEF9E" w14:textId="45B42DB4" w:rsidR="0029712B" w:rsidRPr="0029712B" w:rsidRDefault="00DB5243" w:rsidP="00DB5243">
      <w:pPr>
        <w:pStyle w:val="itemsouspartie"/>
        <w:numPr>
          <w:ilvl w:val="0"/>
          <w:numId w:val="0"/>
        </w:numPr>
        <w:ind w:left="720"/>
      </w:pPr>
      <w:r>
        <w:t>/</w:t>
      </w:r>
    </w:p>
    <w:p w14:paraId="157AF599" w14:textId="67B59003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283D9614" w14:textId="77777777" w:rsidR="00CB25C1" w:rsidRDefault="00CB25C1" w:rsidP="00CB25C1">
      <w:pPr>
        <w:pStyle w:val="itemsouspartie"/>
      </w:pPr>
      <w:r>
        <w:t>Utilisation de pipette graduée stérile ou pipette paille</w:t>
      </w:r>
    </w:p>
    <w:p w14:paraId="5DB33862" w14:textId="77777777" w:rsidR="00CB25C1" w:rsidRDefault="00CB25C1" w:rsidP="00CB25C1">
      <w:pPr>
        <w:pStyle w:val="itemsouspartie"/>
      </w:pPr>
      <w:r>
        <w:t>Refroidissement de la gélose couvercle fermé ou ouvert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2D9DF178" w14:textId="77777777" w:rsidR="00CB25C1" w:rsidRDefault="00CB25C1" w:rsidP="00CB25C1">
      <w:pPr>
        <w:pStyle w:val="itemsouspartie"/>
      </w:pPr>
      <w:r>
        <w:t>Dénombrement de micro-organismes dans des produits alimentaires : lait, jus de pomme…</w:t>
      </w:r>
    </w:p>
    <w:p w14:paraId="761BB70F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04ABC87" w14:textId="77777777" w:rsidR="0029712B" w:rsidRPr="0029712B" w:rsidRDefault="0029712B" w:rsidP="0029712B">
      <w:pPr>
        <w:rPr>
          <w:rFonts w:ascii="Arial" w:hAnsi="Arial" w:cs="Arial"/>
        </w:rPr>
      </w:pPr>
    </w:p>
    <w:p w14:paraId="6E2F471B" w14:textId="77777777" w:rsidR="0029712B" w:rsidRPr="0029712B" w:rsidRDefault="0029712B" w:rsidP="0029712B">
      <w:pPr>
        <w:rPr>
          <w:rFonts w:ascii="Arial" w:hAnsi="Arial" w:cs="Arial"/>
        </w:rPr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BE6"/>
    <w:multiLevelType w:val="multilevel"/>
    <w:tmpl w:val="1B6E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4234"/>
    <w:multiLevelType w:val="multilevel"/>
    <w:tmpl w:val="FB663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225528"/>
    <w:multiLevelType w:val="multilevel"/>
    <w:tmpl w:val="42F63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9712B"/>
    <w:rsid w:val="00A12023"/>
    <w:rsid w:val="00B278E1"/>
    <w:rsid w:val="00CB25C1"/>
    <w:rsid w:val="00DB5243"/>
    <w:rsid w:val="00DF7C7B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2023-01-17T08:12:00Z</dcterms:created>
  <dcterms:modified xsi:type="dcterms:W3CDTF">2023-01-17T08:12:00Z</dcterms:modified>
</cp:coreProperties>
</file>